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3CA1C">
      <w:pPr>
        <w:keepNext w:val="0"/>
        <w:keepLines w:val="0"/>
        <w:pageBreakBefore w:val="0"/>
        <w:widowControl/>
        <w:kinsoku w:val="0"/>
        <w:wordWrap/>
        <w:overflowPunct/>
        <w:topLinePunct w:val="0"/>
        <w:autoSpaceDE w:val="0"/>
        <w:autoSpaceDN w:val="0"/>
        <w:bidi w:val="0"/>
        <w:adjustRightInd w:val="0"/>
        <w:snapToGrid w:val="0"/>
        <w:spacing w:before="272" w:line="640" w:lineRule="exact"/>
        <w:ind w:left="1706" w:firstLine="1528" w:firstLineChars="400"/>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29"/>
          <w:sz w:val="44"/>
          <w:szCs w:val="44"/>
        </w:rPr>
        <w:t>湟中区水利局</w:t>
      </w:r>
    </w:p>
    <w:p w14:paraId="40895B6B">
      <w:pPr>
        <w:keepNext w:val="0"/>
        <w:keepLines w:val="0"/>
        <w:pageBreakBefore w:val="0"/>
        <w:widowControl/>
        <w:kinsoku w:val="0"/>
        <w:wordWrap/>
        <w:overflowPunct/>
        <w:topLinePunct w:val="0"/>
        <w:autoSpaceDE w:val="0"/>
        <w:autoSpaceDN w:val="0"/>
        <w:bidi w:val="0"/>
        <w:adjustRightInd w:val="0"/>
        <w:snapToGrid w:val="0"/>
        <w:spacing w:before="9" w:line="640" w:lineRule="exact"/>
        <w:ind w:left="1156" w:firstLine="414" w:firstLineChars="100"/>
        <w:textAlignment w:val="baseline"/>
        <w:rPr>
          <w:rFonts w:hint="eastAsia" w:ascii="方正小标宋简体" w:hAnsi="方正小标宋简体" w:eastAsia="方正小标宋简体" w:cs="方正小标宋简体"/>
          <w:b w:val="0"/>
          <w:bCs w:val="0"/>
          <w:spacing w:val="-13"/>
          <w:sz w:val="44"/>
          <w:szCs w:val="44"/>
        </w:rPr>
      </w:pPr>
      <w:r>
        <w:rPr>
          <w:rFonts w:hint="eastAsia" w:ascii="方正小标宋简体" w:hAnsi="方正小标宋简体" w:eastAsia="方正小标宋简体" w:cs="方正小标宋简体"/>
          <w:b w:val="0"/>
          <w:bCs w:val="0"/>
          <w:spacing w:val="-13"/>
          <w:sz w:val="44"/>
          <w:szCs w:val="44"/>
        </w:rPr>
        <w:t>2024年法治政府建设情况报告</w:t>
      </w:r>
    </w:p>
    <w:p w14:paraId="74BA8ACE">
      <w:pPr>
        <w:keepNext w:val="0"/>
        <w:keepLines w:val="0"/>
        <w:pageBreakBefore w:val="0"/>
        <w:widowControl/>
        <w:kinsoku w:val="0"/>
        <w:wordWrap/>
        <w:overflowPunct/>
        <w:topLinePunct w:val="0"/>
        <w:autoSpaceDE w:val="0"/>
        <w:autoSpaceDN w:val="0"/>
        <w:bidi w:val="0"/>
        <w:adjustRightInd w:val="0"/>
        <w:snapToGrid w:val="0"/>
        <w:spacing w:before="9" w:line="640" w:lineRule="exact"/>
        <w:ind w:left="1156"/>
        <w:textAlignment w:val="baseline"/>
        <w:rPr>
          <w:rFonts w:hint="eastAsia" w:ascii="方正小标宋简体" w:hAnsi="方正小标宋简体" w:eastAsia="方正小标宋简体" w:cs="方正小标宋简体"/>
          <w:b/>
          <w:bCs/>
          <w:spacing w:val="-13"/>
          <w:sz w:val="44"/>
          <w:szCs w:val="44"/>
        </w:rPr>
      </w:pPr>
    </w:p>
    <w:p w14:paraId="7AFF661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2024年，区</w:t>
      </w:r>
      <w:bookmarkStart w:id="0" w:name="_GoBack"/>
      <w:bookmarkEnd w:id="0"/>
      <w:r>
        <w:rPr>
          <w:rFonts w:hint="eastAsia" w:ascii="仿宋_GB2312" w:hAnsi="仿宋_GB2312" w:eastAsia="仿宋_GB2312" w:cs="仿宋_GB2312"/>
          <w:spacing w:val="14"/>
          <w:sz w:val="32"/>
          <w:szCs w:val="32"/>
        </w:rPr>
        <w:t>水利局党组坚持以习近平新时代中国特色社会</w:t>
      </w:r>
      <w:r>
        <w:rPr>
          <w:rFonts w:hint="eastAsia" w:ascii="仿宋_GB2312" w:hAnsi="仿宋_GB2312" w:eastAsia="仿宋_GB2312" w:cs="仿宋_GB2312"/>
          <w:spacing w:val="3"/>
          <w:sz w:val="32"/>
          <w:szCs w:val="32"/>
        </w:rPr>
        <w:t>主义思想为指导，深入学习党的二十大及其历次全会精神、习近平总书记治水重要论述精神和习近平法治思想。深刻领悟“两个</w:t>
      </w:r>
      <w:r>
        <w:rPr>
          <w:rFonts w:hint="eastAsia" w:ascii="仿宋_GB2312" w:hAnsi="仿宋_GB2312" w:eastAsia="仿宋_GB2312" w:cs="仿宋_GB2312"/>
          <w:spacing w:val="6"/>
          <w:sz w:val="32"/>
          <w:szCs w:val="32"/>
        </w:rPr>
        <w:t>确立”的决定性意义，增强“四个意识”、坚定“四个</w:t>
      </w:r>
      <w:r>
        <w:rPr>
          <w:rFonts w:hint="eastAsia" w:ascii="仿宋_GB2312" w:hAnsi="仿宋_GB2312" w:eastAsia="仿宋_GB2312" w:cs="仿宋_GB2312"/>
          <w:spacing w:val="5"/>
          <w:sz w:val="32"/>
          <w:szCs w:val="32"/>
        </w:rPr>
        <w:t>自信”、</w:t>
      </w:r>
      <w:r>
        <w:rPr>
          <w:rFonts w:hint="eastAsia" w:ascii="仿宋_GB2312" w:hAnsi="仿宋_GB2312" w:eastAsia="仿宋_GB2312" w:cs="仿宋_GB2312"/>
          <w:spacing w:val="9"/>
          <w:sz w:val="32"/>
          <w:szCs w:val="32"/>
        </w:rPr>
        <w:t>做到“两个维护”,按照区委区政府的安排部</w:t>
      </w:r>
      <w:r>
        <w:rPr>
          <w:rFonts w:hint="eastAsia" w:ascii="仿宋_GB2312" w:hAnsi="仿宋_GB2312" w:eastAsia="仿宋_GB2312" w:cs="仿宋_GB2312"/>
          <w:spacing w:val="8"/>
          <w:sz w:val="32"/>
          <w:szCs w:val="32"/>
        </w:rPr>
        <w:t>署，强化水利法治</w:t>
      </w:r>
      <w:r>
        <w:rPr>
          <w:rFonts w:hint="eastAsia" w:ascii="仿宋_GB2312" w:hAnsi="仿宋_GB2312" w:eastAsia="仿宋_GB2312" w:cs="仿宋_GB2312"/>
          <w:spacing w:val="-4"/>
          <w:sz w:val="32"/>
          <w:szCs w:val="32"/>
        </w:rPr>
        <w:t>建设，全面履职尽责，推动新阶段水利高质量发展取得新的成效。</w:t>
      </w:r>
      <w:r>
        <w:rPr>
          <w:rFonts w:hint="eastAsia" w:ascii="仿宋_GB2312" w:hAnsi="仿宋_GB2312" w:eastAsia="仿宋_GB2312" w:cs="仿宋_GB2312"/>
          <w:spacing w:val="-1"/>
          <w:sz w:val="32"/>
          <w:szCs w:val="32"/>
        </w:rPr>
        <w:t>现将有关情况报告如下：</w:t>
      </w:r>
    </w:p>
    <w:p w14:paraId="749A4220">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56" w:firstLineChars="200"/>
        <w:textAlignment w:val="baseline"/>
        <w:outlineLvl w:val="2"/>
        <w:rPr>
          <w:rFonts w:ascii="黑体" w:hAnsi="黑体" w:eastAsia="黑体" w:cs="黑体"/>
          <w:b w:val="0"/>
          <w:bCs w:val="0"/>
          <w:sz w:val="32"/>
          <w:szCs w:val="32"/>
        </w:rPr>
      </w:pPr>
      <w:r>
        <w:rPr>
          <w:rFonts w:ascii="黑体" w:hAnsi="黑体" w:eastAsia="黑体" w:cs="黑体"/>
          <w:b w:val="0"/>
          <w:bCs w:val="0"/>
          <w:spacing w:val="4"/>
          <w:sz w:val="32"/>
          <w:szCs w:val="32"/>
        </w:rPr>
        <w:t>一、深耕法治学习，提升法治素养</w:t>
      </w:r>
    </w:p>
    <w:p w14:paraId="0E85C2C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水利局把习近平法治思想作为重点学习内容，列入区水利局党组2024年理论学习计划，纳入水利局干部职工教育培训重点课程，带动水利系统各级党组织认真学习贯彻落实。局属各单位共组织98名干部职工学习习近平法治思想，开展专题研讨累计120人次参与讨论，推动学习宣传走深走实。把学习贯彻习近平法治思想与学习贯彻习近平总书记治水重要论述精神紧密结合，深入学习领会习近平法治思想的丰富内涵、精神实质和实践要求，引领广大干部职工坚定不移走中国特色社会主义法治道路。</w:t>
      </w:r>
    </w:p>
    <w:p w14:paraId="15C267AA">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56" w:firstLineChars="200"/>
        <w:textAlignment w:val="baseline"/>
        <w:outlineLvl w:val="2"/>
        <w:rPr>
          <w:rFonts w:ascii="黑体" w:hAnsi="黑体" w:eastAsia="黑体" w:cs="黑体"/>
          <w:b w:val="0"/>
          <w:bCs w:val="0"/>
          <w:spacing w:val="4"/>
          <w:sz w:val="32"/>
          <w:szCs w:val="32"/>
        </w:rPr>
      </w:pPr>
      <w:r>
        <w:rPr>
          <w:rFonts w:ascii="黑体" w:hAnsi="黑体" w:eastAsia="黑体" w:cs="黑体"/>
          <w:b w:val="0"/>
          <w:bCs w:val="0"/>
          <w:spacing w:val="4"/>
          <w:sz w:val="32"/>
          <w:szCs w:val="32"/>
        </w:rPr>
        <w:t>二、推进法治政府建设的主要举措与成效</w:t>
      </w:r>
    </w:p>
    <w:p w14:paraId="76B55B85">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47" w:firstLineChars="200"/>
        <w:textAlignment w:val="baseline"/>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1"/>
          <w:sz w:val="32"/>
          <w:szCs w:val="32"/>
        </w:rPr>
        <w:t>(一)履行职责，推进法治政府建设工作</w:t>
      </w:r>
    </w:p>
    <w:p w14:paraId="2F6B9811">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b/>
          <w:bCs/>
          <w:spacing w:val="14"/>
          <w:sz w:val="32"/>
          <w:szCs w:val="32"/>
        </w:rPr>
        <w:t>1.带头学习贯彻落实习近平法治思想。</w:t>
      </w:r>
      <w:r>
        <w:rPr>
          <w:rFonts w:hint="eastAsia" w:ascii="仿宋_GB2312" w:hAnsi="仿宋_GB2312" w:eastAsia="仿宋_GB2312" w:cs="仿宋_GB2312"/>
          <w:spacing w:val="14"/>
          <w:sz w:val="32"/>
          <w:szCs w:val="32"/>
        </w:rPr>
        <w:t>区水利局党组书记高度重视水利依法行政和法治工作，认真履行推进法治建设第一责任人职责，带头学习贯彻习近平法治思想，把习近平法治思想贯彻落实到水利高质量发展各方面全过程，示范带动水利干部职工持之以恒用习近平法治思想武装头脑、指导实践、推动工作。主持召开水利局党组会议、局务会等，传达学习习近平总书记相关重要讲话精神，强调牢固树立法治意识，带头尊法学法守法用法。</w:t>
      </w:r>
    </w:p>
    <w:p w14:paraId="167D105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spacing w:val="14"/>
          <w:sz w:val="32"/>
          <w:szCs w:val="32"/>
        </w:rPr>
      </w:pPr>
      <w:r>
        <w:rPr>
          <w:rFonts w:hint="eastAsia" w:ascii="仿宋_GB2312" w:hAnsi="仿宋_GB2312" w:eastAsia="仿宋_GB2312" w:cs="仿宋_GB2312"/>
          <w:b/>
          <w:bCs/>
          <w:spacing w:val="14"/>
          <w:sz w:val="32"/>
          <w:szCs w:val="32"/>
        </w:rPr>
        <w:t>2.认真履行推进法治建设职责。</w:t>
      </w:r>
      <w:r>
        <w:rPr>
          <w:rFonts w:hint="eastAsia" w:ascii="仿宋_GB2312" w:hAnsi="仿宋_GB2312" w:eastAsia="仿宋_GB2312" w:cs="仿宋_GB2312"/>
          <w:spacing w:val="14"/>
          <w:sz w:val="32"/>
          <w:szCs w:val="32"/>
        </w:rPr>
        <w:t>坚持依法依规科学决策</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组织召开会议，安排法治政府建设工作；审议水行政执法决定，研究水利工程管理等方面法律问题。把合法性审查、社会稳定风险评估作为提请会议审议的前置要件，不断提高决策科学化、民主化、法治化水平。</w:t>
      </w:r>
    </w:p>
    <w:p w14:paraId="04D6200A">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47" w:firstLineChars="200"/>
        <w:textAlignment w:val="baseline"/>
        <w:outlineLvl w:val="2"/>
        <w:rPr>
          <w:rFonts w:hint="eastAsia" w:ascii="楷体_GB2312" w:hAnsi="楷体_GB2312" w:eastAsia="楷体_GB2312" w:cs="楷体_GB2312"/>
          <w:b/>
          <w:bCs/>
          <w:spacing w:val="1"/>
          <w:sz w:val="32"/>
          <w:szCs w:val="32"/>
        </w:rPr>
      </w:pPr>
      <w:r>
        <w:rPr>
          <w:rFonts w:hint="eastAsia" w:ascii="楷体_GB2312" w:hAnsi="楷体_GB2312" w:eastAsia="楷体_GB2312" w:cs="楷体_GB2312"/>
          <w:b/>
          <w:bCs/>
          <w:spacing w:val="1"/>
          <w:sz w:val="32"/>
          <w:szCs w:val="32"/>
        </w:rPr>
        <w:t>(二)严格依法行政，完善规章制度</w:t>
      </w:r>
    </w:p>
    <w:p w14:paraId="2C92C58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val="0"/>
          <w:bCs w:val="0"/>
          <w:spacing w:val="14"/>
          <w:sz w:val="32"/>
          <w:szCs w:val="32"/>
        </w:rPr>
        <w:t>我局法治政府建设主要依托水行政执法工作开展，紧紧围绕依法行政的总目标，认真履行水利部门的法定职责，规范行政执法行为，提高行政执法效率。2024年8月因机构改革我局原执法大队已注销，转隶至区农业农村综合行政执法局，开展后续相关行政执法工作。</w:t>
      </w:r>
    </w:p>
    <w:p w14:paraId="34C9BEF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1.加大执法力度，不断加强水行政执法。一是落实执法案卷自评及规范管理。</w:t>
      </w:r>
      <w:r>
        <w:rPr>
          <w:rFonts w:hint="eastAsia" w:ascii="仿宋_GB2312" w:hAnsi="仿宋_GB2312" w:eastAsia="仿宋_GB2312" w:cs="仿宋_GB2312"/>
          <w:b w:val="0"/>
          <w:bCs w:val="0"/>
          <w:spacing w:val="14"/>
          <w:sz w:val="32"/>
          <w:szCs w:val="32"/>
        </w:rPr>
        <w:t>积极开展案卷评查，认真剖析已办理案件，进行分析讨论，总结经验教训，查找不足，通过案卷的评查提升法律意识和执法业务水平。同时，定期更新梳理水利、水行政执法依据，将执法依据及案卷分类排列、列明目录、汇编成册。确保行政处罚案卷主题正确，行政处罚依据正确，程序规范，处罚种类和适用法律法规依据正确，处罚适当，案卷制作归档比较规范，行政处罚的数额与上缴财政的数额一致，没有出现截留现象，所有办案的执法人员均做到持证上岗。</w:t>
      </w:r>
      <w:r>
        <w:rPr>
          <w:rFonts w:hint="eastAsia" w:ascii="仿宋_GB2312" w:hAnsi="仿宋_GB2312" w:eastAsia="仿宋_GB2312" w:cs="仿宋_GB2312"/>
          <w:b/>
          <w:bCs/>
          <w:spacing w:val="14"/>
          <w:sz w:val="32"/>
          <w:szCs w:val="32"/>
        </w:rPr>
        <w:t>二是认真落实行政执法“三项制度”和行政处罚自由裁量基准制度。</w:t>
      </w:r>
      <w:r>
        <w:rPr>
          <w:rFonts w:hint="eastAsia" w:ascii="仿宋_GB2312" w:hAnsi="仿宋_GB2312" w:eastAsia="仿宋_GB2312" w:cs="仿宋_GB2312"/>
          <w:b w:val="0"/>
          <w:bCs w:val="0"/>
          <w:spacing w:val="14"/>
          <w:sz w:val="32"/>
          <w:szCs w:val="32"/>
        </w:rPr>
        <w:t>自全面推行执行公示制度、执法全过程记录制度、重大行政执法决定法制审核制度以来，我局在行政处罚、行政裁决、行政强制等行政执法领域，实现了行政执法“三项制度”全覆盖。做到执法行为信息全程记载、执法全过程可回溯管理、重大执法决定法制审核。我局共配备6套执法记录仪，做到执法过程全过程记录，相关影像资料资料做好存储备份。对重大行政执法案件召开重大决议会议，对案件进</w:t>
      </w:r>
      <w:r>
        <w:rPr>
          <w:rFonts w:hint="eastAsia" w:ascii="仿宋_GB2312" w:hAnsi="仿宋_GB2312" w:eastAsia="仿宋_GB2312" w:cs="仿宋_GB2312"/>
          <w:b w:val="0"/>
          <w:bCs w:val="0"/>
          <w:spacing w:val="14"/>
          <w:sz w:val="32"/>
          <w:szCs w:val="32"/>
          <w:lang w:val="en-US" w:eastAsia="zh-CN"/>
        </w:rPr>
        <w:t>行</w:t>
      </w:r>
      <w:r>
        <w:rPr>
          <w:rFonts w:hint="eastAsia" w:ascii="仿宋_GB2312" w:hAnsi="仿宋_GB2312" w:eastAsia="仿宋_GB2312" w:cs="仿宋_GB2312"/>
          <w:b w:val="0"/>
          <w:bCs w:val="0"/>
          <w:spacing w:val="14"/>
          <w:sz w:val="32"/>
          <w:szCs w:val="32"/>
        </w:rPr>
        <w:t>法制审核。通过“信用”平台对水行政执法案件进行公示，行政执法行为得到有效规范，行政执法公示制度机制不断健全完善，全面实现执法信息公开透明、执法全过程留痕、执法决定合法有效，行政执法行为得到有效规范，行政执法能力和水平整体大幅提升，行政执法行为被纠错率明显下降，行政执法的社会满意度显著提高。</w:t>
      </w:r>
    </w:p>
    <w:p w14:paraId="59924FF5">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lang w:eastAsia="zh-CN"/>
        </w:rPr>
      </w:pPr>
      <w:r>
        <w:rPr>
          <w:rFonts w:hint="eastAsia" w:ascii="仿宋_GB2312" w:hAnsi="仿宋_GB2312" w:eastAsia="仿宋_GB2312" w:cs="仿宋_GB2312"/>
          <w:b/>
          <w:bCs/>
          <w:spacing w:val="14"/>
          <w:sz w:val="32"/>
          <w:szCs w:val="32"/>
        </w:rPr>
        <w:t>2.推进“放管服”改革，优化营商环境，一是做好行政许可事项审批。</w:t>
      </w:r>
      <w:r>
        <w:rPr>
          <w:rFonts w:hint="eastAsia" w:ascii="仿宋_GB2312" w:hAnsi="仿宋_GB2312" w:eastAsia="仿宋_GB2312" w:cs="仿宋_GB2312"/>
          <w:b w:val="0"/>
          <w:bCs w:val="0"/>
          <w:spacing w:val="14"/>
          <w:sz w:val="32"/>
          <w:szCs w:val="32"/>
        </w:rPr>
        <w:t>严格生产建设项目水土保持方案审批。按照水保法、水利部53号令、生产建设项目水土保持技术标准、审查要点等依法依规，严格按照审批时限审批许可，水土保持方案报告表按照承诺制管理即时办结。2024年至今共批复生产建设项目34项。2024年本单位共审批12项防洪影响评价报告。各类事项目前不存在行政审批事项人为设置障碍；不存在以“甩手掌柜”“软拒绝”等方式，将企业的一些正常诉求拒之门外，该见的人不见，改办的事不办等损害营商环境的问题。</w:t>
      </w:r>
      <w:r>
        <w:rPr>
          <w:rFonts w:hint="eastAsia" w:ascii="仿宋_GB2312" w:hAnsi="仿宋_GB2312" w:eastAsia="仿宋_GB2312" w:cs="仿宋_GB2312"/>
          <w:b/>
          <w:bCs/>
          <w:spacing w:val="14"/>
          <w:sz w:val="32"/>
          <w:szCs w:val="32"/>
        </w:rPr>
        <w:t>二是做好监督检查。</w:t>
      </w:r>
      <w:r>
        <w:rPr>
          <w:rFonts w:hint="eastAsia" w:ascii="仿宋_GB2312" w:hAnsi="仿宋_GB2312" w:eastAsia="仿宋_GB2312" w:cs="仿宋_GB2312"/>
          <w:b w:val="0"/>
          <w:bCs w:val="0"/>
          <w:spacing w:val="14"/>
          <w:sz w:val="32"/>
          <w:szCs w:val="32"/>
        </w:rPr>
        <w:t>按照批复的水土保持方案，检查生产建设项目水土保持方案落实以及监理、监测工作开展情况，及时发现问题并督促整改，2024年完成监督检查212项。同时，对已完成设施验收报备的生产建设项目进行核查，已完成验收核查51项。</w:t>
      </w:r>
      <w:r>
        <w:rPr>
          <w:rFonts w:hint="eastAsia" w:ascii="仿宋_GB2312" w:hAnsi="仿宋_GB2312" w:eastAsia="仿宋_GB2312" w:cs="仿宋_GB2312"/>
          <w:b/>
          <w:bCs/>
          <w:spacing w:val="14"/>
          <w:sz w:val="32"/>
          <w:szCs w:val="32"/>
        </w:rPr>
        <w:t>三是开展民主评议。</w:t>
      </w:r>
      <w:r>
        <w:rPr>
          <w:rFonts w:hint="eastAsia" w:ascii="仿宋_GB2312" w:hAnsi="仿宋_GB2312" w:eastAsia="仿宋_GB2312" w:cs="仿宋_GB2312"/>
          <w:b w:val="0"/>
          <w:bCs w:val="0"/>
          <w:spacing w:val="14"/>
          <w:sz w:val="32"/>
          <w:szCs w:val="32"/>
        </w:rPr>
        <w:t>截止2024年10月底，我局共收到“西宁评议”评价5625次，均为满意</w:t>
      </w:r>
      <w:r>
        <w:rPr>
          <w:rFonts w:hint="eastAsia" w:ascii="仿宋_GB2312" w:hAnsi="仿宋_GB2312" w:eastAsia="仿宋_GB2312" w:cs="仿宋_GB2312"/>
          <w:b w:val="0"/>
          <w:bCs w:val="0"/>
          <w:spacing w:val="14"/>
          <w:sz w:val="32"/>
          <w:szCs w:val="32"/>
          <w:lang w:eastAsia="zh-CN"/>
        </w:rPr>
        <w:t>。</w:t>
      </w:r>
    </w:p>
    <w:p w14:paraId="6CA37FE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3.建立法律顾问制度长效机制，提高依法行政能力。</w:t>
      </w:r>
      <w:r>
        <w:rPr>
          <w:rFonts w:hint="eastAsia" w:ascii="仿宋_GB2312" w:hAnsi="仿宋_GB2312" w:eastAsia="仿宋_GB2312" w:cs="仿宋_GB2312"/>
          <w:b w:val="0"/>
          <w:bCs w:val="0"/>
          <w:spacing w:val="14"/>
          <w:sz w:val="32"/>
          <w:szCs w:val="32"/>
        </w:rPr>
        <w:t>水利局严格执行法律顾问制度，参与制度建设1项，提供决策咨询、案件咨询、提出意见共10条，参与合同审查5项，代理案件3项，参与涉法事务5项，有效的发挥了法律顾问作用。</w:t>
      </w:r>
    </w:p>
    <w:p w14:paraId="064BD30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4.主动接受群众监督。</w:t>
      </w:r>
      <w:r>
        <w:rPr>
          <w:rFonts w:hint="eastAsia" w:ascii="仿宋_GB2312" w:hAnsi="仿宋_GB2312" w:eastAsia="仿宋_GB2312" w:cs="仿宋_GB2312"/>
          <w:b w:val="0"/>
          <w:bCs w:val="0"/>
          <w:spacing w:val="14"/>
          <w:sz w:val="32"/>
          <w:szCs w:val="32"/>
        </w:rPr>
        <w:t>区水利局积极接受人大对水利工程建设、水行政执法、河湖长制、乡村振兴等工作的监督检查，积极推进信访突出矛盾化解，水利局截至目前收到12345政务服务热线涉水问题289件，其中因人饮管道故障等原因造成供水问题的求助件137件，灌溉类10件，工程建设类95件，河道采砂举报等其它类47件，目前已办理280件，挂账7件(其中涉及鲁沙尔镇和平路地下水井关停的1件，河道整治、人饮工程等建设领域的求助件6件</w:t>
      </w:r>
      <w:r>
        <w:rPr>
          <w:rFonts w:hint="eastAsia" w:ascii="仿宋_GB2312" w:hAnsi="仿宋_GB2312" w:eastAsia="仿宋_GB2312" w:cs="仿宋_GB2312"/>
          <w:b w:val="0"/>
          <w:bCs w:val="0"/>
          <w:spacing w:val="14"/>
          <w:sz w:val="32"/>
          <w:szCs w:val="32"/>
          <w:lang w:eastAsia="zh-CN"/>
        </w:rPr>
        <w:t>）</w:t>
      </w:r>
      <w:r>
        <w:rPr>
          <w:rFonts w:hint="eastAsia" w:ascii="仿宋_GB2312" w:hAnsi="仿宋_GB2312" w:eastAsia="仿宋_GB2312" w:cs="仿宋_GB2312"/>
          <w:b w:val="0"/>
          <w:bCs w:val="0"/>
          <w:spacing w:val="14"/>
          <w:sz w:val="32"/>
          <w:szCs w:val="32"/>
        </w:rPr>
        <w:t>，水利局将压实责任，厘清职责，定期跟踪办理进展，要求办件单位、施工单位把控工作细节，加强沟通，逐件分析研究，制定疑难工单后续解决、跟进措施，加强解决力度，加快“销账”进度</w:t>
      </w:r>
      <w:r>
        <w:rPr>
          <w:rFonts w:hint="eastAsia" w:ascii="仿宋_GB2312" w:hAnsi="仿宋_GB2312" w:eastAsia="仿宋_GB2312" w:cs="仿宋_GB2312"/>
          <w:b w:val="0"/>
          <w:bCs w:val="0"/>
          <w:spacing w:val="14"/>
          <w:sz w:val="32"/>
          <w:szCs w:val="32"/>
          <w:lang w:eastAsia="zh-CN"/>
        </w:rPr>
        <w:t>，</w:t>
      </w:r>
      <w:r>
        <w:rPr>
          <w:rFonts w:hint="eastAsia" w:ascii="仿宋_GB2312" w:hAnsi="仿宋_GB2312" w:eastAsia="仿宋_GB2312" w:cs="仿宋_GB2312"/>
          <w:b w:val="0"/>
          <w:bCs w:val="0"/>
          <w:spacing w:val="14"/>
          <w:sz w:val="32"/>
          <w:szCs w:val="32"/>
        </w:rPr>
        <w:t>提高办件效能。</w:t>
      </w:r>
    </w:p>
    <w:p w14:paraId="64EA5942">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56" w:firstLineChars="200"/>
        <w:textAlignment w:val="baseline"/>
        <w:outlineLvl w:val="2"/>
        <w:rPr>
          <w:rFonts w:ascii="黑体" w:hAnsi="黑体" w:eastAsia="黑体" w:cs="黑体"/>
          <w:b w:val="0"/>
          <w:bCs w:val="0"/>
          <w:spacing w:val="4"/>
          <w:sz w:val="32"/>
          <w:szCs w:val="32"/>
        </w:rPr>
      </w:pPr>
      <w:r>
        <w:rPr>
          <w:rFonts w:ascii="黑体" w:hAnsi="黑体" w:eastAsia="黑体" w:cs="黑体"/>
          <w:b w:val="0"/>
          <w:bCs w:val="0"/>
          <w:spacing w:val="4"/>
          <w:sz w:val="32"/>
          <w:szCs w:val="32"/>
        </w:rPr>
        <w:t>三、普法工作情况</w:t>
      </w:r>
    </w:p>
    <w:p w14:paraId="116AB184">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val="0"/>
          <w:bCs w:val="0"/>
          <w:spacing w:val="14"/>
          <w:sz w:val="32"/>
          <w:szCs w:val="32"/>
        </w:rPr>
        <w:t>为扩大宣传教育面，水利局积极开展“世界水日”、“中国水周”等系列活动，局机关积极开展水法律法规宣讲活动，下属各水管单位在辖区内广场、学校等人员密集场所开展宣传活动。通过播放节水宣传片、组织干部职工积极参与法宣在线知识竞答</w:t>
      </w:r>
      <w:r>
        <w:rPr>
          <w:rFonts w:hint="eastAsia" w:ascii="仿宋_GB2312" w:hAnsi="仿宋_GB2312" w:eastAsia="仿宋_GB2312" w:cs="仿宋_GB2312"/>
          <w:b w:val="0"/>
          <w:bCs w:val="0"/>
          <w:spacing w:val="14"/>
          <w:sz w:val="32"/>
          <w:szCs w:val="32"/>
          <w:lang w:eastAsia="zh-CN"/>
        </w:rPr>
        <w:t>、</w:t>
      </w:r>
      <w:r>
        <w:rPr>
          <w:rFonts w:hint="eastAsia" w:ascii="仿宋_GB2312" w:hAnsi="仿宋_GB2312" w:eastAsia="仿宋_GB2312" w:cs="仿宋_GB2312"/>
          <w:b w:val="0"/>
          <w:bCs w:val="0"/>
          <w:spacing w:val="14"/>
          <w:sz w:val="32"/>
          <w:szCs w:val="32"/>
        </w:rPr>
        <w:t>依托强化依法治水携手共护母亲河节水进校园宣讲等活动的开展，为进一步增强全社会依法治水、惜水护水意识，推动新阶段湟中水利高质量发展营造良好氛围。</w:t>
      </w:r>
    </w:p>
    <w:p w14:paraId="0958CE9A">
      <w:pPr>
        <w:keepNext w:val="0"/>
        <w:keepLines w:val="0"/>
        <w:pageBreakBefore w:val="0"/>
        <w:widowControl/>
        <w:kinsoku w:val="0"/>
        <w:wordWrap/>
        <w:overflowPunct/>
        <w:topLinePunct w:val="0"/>
        <w:autoSpaceDE w:val="0"/>
        <w:autoSpaceDN w:val="0"/>
        <w:bidi w:val="0"/>
        <w:adjustRightInd w:val="0"/>
        <w:snapToGrid w:val="0"/>
        <w:spacing w:line="576" w:lineRule="exact"/>
        <w:ind w:left="0" w:firstLine="656" w:firstLineChars="200"/>
        <w:textAlignment w:val="baseline"/>
        <w:outlineLvl w:val="2"/>
        <w:rPr>
          <w:rFonts w:ascii="黑体" w:hAnsi="黑体" w:eastAsia="黑体" w:cs="黑体"/>
          <w:b w:val="0"/>
          <w:bCs w:val="0"/>
          <w:spacing w:val="4"/>
          <w:sz w:val="32"/>
          <w:szCs w:val="32"/>
        </w:rPr>
      </w:pPr>
      <w:r>
        <w:rPr>
          <w:rFonts w:ascii="黑体" w:hAnsi="黑体" w:eastAsia="黑体" w:cs="黑体"/>
          <w:b w:val="0"/>
          <w:bCs w:val="0"/>
          <w:spacing w:val="4"/>
          <w:sz w:val="32"/>
          <w:szCs w:val="32"/>
        </w:rPr>
        <w:t>四、存在的问题及打算</w:t>
      </w:r>
    </w:p>
    <w:p w14:paraId="18428F00">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一是调查取证能力需进一步加强。</w:t>
      </w:r>
      <w:r>
        <w:rPr>
          <w:rFonts w:hint="eastAsia" w:ascii="仿宋_GB2312" w:hAnsi="仿宋_GB2312" w:eastAsia="仿宋_GB2312" w:cs="仿宋_GB2312"/>
          <w:b w:val="0"/>
          <w:bCs w:val="0"/>
          <w:spacing w:val="14"/>
          <w:sz w:val="32"/>
          <w:szCs w:val="32"/>
        </w:rPr>
        <w:t>行政处罚所收集的证据材料基本是证明违法行为发生的证据，对反映当事人违法行为的具体情节、主客观原因、社会危害程度等证据材料收集较少。</w:t>
      </w:r>
    </w:p>
    <w:p w14:paraId="3057DF73">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二是对法治政府建设认识不到位。</w:t>
      </w:r>
      <w:r>
        <w:rPr>
          <w:rFonts w:hint="eastAsia" w:ascii="仿宋_GB2312" w:hAnsi="仿宋_GB2312" w:eastAsia="仿宋_GB2312" w:cs="仿宋_GB2312"/>
          <w:b w:val="0"/>
          <w:bCs w:val="0"/>
          <w:spacing w:val="14"/>
          <w:sz w:val="32"/>
          <w:szCs w:val="32"/>
        </w:rPr>
        <w:t>有的局属单位和负责人对法治政府建设定位不准，存在以行政命令推进工作的现象。</w:t>
      </w:r>
    </w:p>
    <w:p w14:paraId="6F2A87DE">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val="0"/>
          <w:bCs w:val="0"/>
          <w:spacing w:val="14"/>
          <w:sz w:val="32"/>
          <w:szCs w:val="32"/>
        </w:rPr>
        <w:t>2025年，我们将紧紧围绕法治政府建设工作要求，结合工作实际，创新工作，主动作为，固强补弱，强势推进，扎实有效推进法治政府建设。</w:t>
      </w:r>
    </w:p>
    <w:p w14:paraId="4AC35B96">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一是加大宣传教育。</w:t>
      </w:r>
      <w:r>
        <w:rPr>
          <w:rFonts w:hint="eastAsia" w:ascii="仿宋_GB2312" w:hAnsi="仿宋_GB2312" w:eastAsia="仿宋_GB2312" w:cs="仿宋_GB2312"/>
          <w:b w:val="0"/>
          <w:bCs w:val="0"/>
          <w:spacing w:val="14"/>
          <w:sz w:val="32"/>
          <w:szCs w:val="32"/>
        </w:rPr>
        <w:t>拓宽宣传渠道、丰富宣传形式，做到传统传媒与现代传媒相结合、集中宣传与重点宣传相结合</w:t>
      </w:r>
      <w:r>
        <w:rPr>
          <w:rFonts w:hint="eastAsia" w:ascii="仿宋_GB2312" w:hAnsi="仿宋_GB2312" w:eastAsia="仿宋_GB2312" w:cs="仿宋_GB2312"/>
          <w:b w:val="0"/>
          <w:bCs w:val="0"/>
          <w:spacing w:val="14"/>
          <w:sz w:val="32"/>
          <w:szCs w:val="32"/>
          <w:lang w:eastAsia="zh-CN"/>
        </w:rPr>
        <w:t>、</w:t>
      </w:r>
      <w:r>
        <w:rPr>
          <w:rFonts w:hint="eastAsia" w:ascii="仿宋_GB2312" w:hAnsi="仿宋_GB2312" w:eastAsia="仿宋_GB2312" w:cs="仿宋_GB2312"/>
          <w:b w:val="0"/>
          <w:bCs w:val="0"/>
          <w:spacing w:val="14"/>
          <w:sz w:val="32"/>
          <w:szCs w:val="32"/>
        </w:rPr>
        <w:t>综治宣传与法治实践相结合，认真抓好年度法治宣传要点落实。</w:t>
      </w:r>
    </w:p>
    <w:p w14:paraId="6B01E7C7">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二是推进依法治水，加强水资源管理和保护。</w:t>
      </w:r>
      <w:r>
        <w:rPr>
          <w:rFonts w:hint="eastAsia" w:ascii="仿宋_GB2312" w:hAnsi="仿宋_GB2312" w:eastAsia="仿宋_GB2312" w:cs="仿宋_GB2312"/>
          <w:b w:val="0"/>
          <w:bCs w:val="0"/>
          <w:spacing w:val="14"/>
          <w:sz w:val="32"/>
          <w:szCs w:val="32"/>
        </w:rPr>
        <w:t>实施最严格的水资源管理制度，严格实施水资源论证和取水许可制度</w:t>
      </w:r>
      <w:r>
        <w:rPr>
          <w:rFonts w:hint="eastAsia" w:ascii="仿宋_GB2312" w:hAnsi="仿宋_GB2312" w:eastAsia="仿宋_GB2312" w:cs="仿宋_GB2312"/>
          <w:b w:val="0"/>
          <w:bCs w:val="0"/>
          <w:spacing w:val="14"/>
          <w:sz w:val="32"/>
          <w:szCs w:val="32"/>
          <w:lang w:eastAsia="zh-CN"/>
        </w:rPr>
        <w:t>，</w:t>
      </w:r>
      <w:r>
        <w:rPr>
          <w:rFonts w:hint="eastAsia" w:ascii="仿宋_GB2312" w:hAnsi="仿宋_GB2312" w:eastAsia="仿宋_GB2312" w:cs="仿宋_GB2312"/>
          <w:b w:val="0"/>
          <w:bCs w:val="0"/>
          <w:spacing w:val="14"/>
          <w:sz w:val="32"/>
          <w:szCs w:val="32"/>
        </w:rPr>
        <w:t>进一步加强水资源有偿使用管理，完善水资源费征收制度。同时加强水生态保护，推进河湖长制工作，明确各级河湖长的职责和任务，加强河湖管理和保护，对水资源保护做到有规可循，有法可依。</w:t>
      </w:r>
    </w:p>
    <w:p w14:paraId="4AC1345C">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9" w:firstLineChars="200"/>
        <w:jc w:val="both"/>
        <w:textAlignment w:val="baseline"/>
        <w:rPr>
          <w:rFonts w:hint="eastAsia" w:ascii="仿宋_GB2312" w:hAnsi="仿宋_GB2312" w:eastAsia="仿宋_GB2312" w:cs="仿宋_GB2312"/>
          <w:b w:val="0"/>
          <w:bCs w:val="0"/>
          <w:spacing w:val="14"/>
          <w:sz w:val="32"/>
          <w:szCs w:val="32"/>
        </w:rPr>
      </w:pPr>
      <w:r>
        <w:rPr>
          <w:rFonts w:hint="eastAsia" w:ascii="仿宋_GB2312" w:hAnsi="仿宋_GB2312" w:eastAsia="仿宋_GB2312" w:cs="仿宋_GB2312"/>
          <w:b/>
          <w:bCs/>
          <w:spacing w:val="14"/>
          <w:sz w:val="32"/>
          <w:szCs w:val="32"/>
        </w:rPr>
        <w:t>三是推进规范执法。</w:t>
      </w:r>
      <w:r>
        <w:rPr>
          <w:rFonts w:hint="eastAsia" w:ascii="仿宋_GB2312" w:hAnsi="仿宋_GB2312" w:eastAsia="仿宋_GB2312" w:cs="仿宋_GB2312"/>
          <w:b w:val="0"/>
          <w:bCs w:val="0"/>
          <w:spacing w:val="14"/>
          <w:sz w:val="32"/>
          <w:szCs w:val="32"/>
        </w:rPr>
        <w:t>加大对工作人员的业务培训力度，提高执法人员对法律、法规和规章条文的理解和运用能力，对行政行为的调查取证和分析判断力，对行政执法文书的制作运用能力等技能。并对工作人员易忽略的事项，经常提示</w:t>
      </w:r>
      <w:r>
        <w:rPr>
          <w:rFonts w:hint="eastAsia" w:ascii="仿宋_GB2312" w:hAnsi="仿宋_GB2312" w:eastAsia="仿宋_GB2312" w:cs="仿宋_GB2312"/>
          <w:b w:val="0"/>
          <w:bCs w:val="0"/>
          <w:spacing w:val="14"/>
          <w:sz w:val="32"/>
          <w:szCs w:val="32"/>
          <w:lang w:eastAsia="zh-CN"/>
        </w:rPr>
        <w:t>，</w:t>
      </w:r>
      <w:r>
        <w:rPr>
          <w:rFonts w:hint="eastAsia" w:ascii="仿宋_GB2312" w:hAnsi="仿宋_GB2312" w:eastAsia="仿宋_GB2312" w:cs="仿宋_GB2312"/>
          <w:b w:val="0"/>
          <w:bCs w:val="0"/>
          <w:spacing w:val="14"/>
          <w:sz w:val="32"/>
          <w:szCs w:val="32"/>
        </w:rPr>
        <w:t>提醒执法人员要注重把握细节，规范执法。进一步规范执法案卷、处罚自由裁量工作，按照“三项制度”工作要求，努力做到细致、规范，进一步更新理念，转变职能，强化薄弱环节，在严格执行上下功夫，努力使“三项制度”贯穿到水行政执法的整个过程中。</w:t>
      </w:r>
    </w:p>
    <w:p w14:paraId="3148D139">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b w:val="0"/>
          <w:bCs w:val="0"/>
          <w:spacing w:val="14"/>
          <w:sz w:val="32"/>
          <w:szCs w:val="32"/>
        </w:rPr>
      </w:pPr>
    </w:p>
    <w:p w14:paraId="33E5EA12">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b w:val="0"/>
          <w:bCs w:val="0"/>
          <w:spacing w:val="14"/>
          <w:sz w:val="32"/>
          <w:szCs w:val="32"/>
        </w:rPr>
      </w:pPr>
    </w:p>
    <w:p w14:paraId="4AD8DBC7">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b w:val="0"/>
          <w:bCs w:val="0"/>
          <w:spacing w:val="14"/>
          <w:sz w:val="32"/>
          <w:szCs w:val="32"/>
        </w:rPr>
      </w:pPr>
    </w:p>
    <w:p w14:paraId="58FE106B">
      <w:pPr>
        <w:pStyle w:val="2"/>
        <w:keepNext w:val="0"/>
        <w:keepLines w:val="0"/>
        <w:pageBreakBefore w:val="0"/>
        <w:widowControl/>
        <w:kinsoku w:val="0"/>
        <w:wordWrap/>
        <w:overflowPunct/>
        <w:topLinePunct w:val="0"/>
        <w:autoSpaceDE w:val="0"/>
        <w:autoSpaceDN w:val="0"/>
        <w:bidi w:val="0"/>
        <w:adjustRightInd w:val="0"/>
        <w:snapToGrid w:val="0"/>
        <w:spacing w:line="576" w:lineRule="exact"/>
        <w:ind w:left="0" w:firstLine="696" w:firstLineChars="200"/>
        <w:jc w:val="both"/>
        <w:textAlignment w:val="baseline"/>
        <w:rPr>
          <w:rFonts w:hint="eastAsia" w:ascii="仿宋_GB2312" w:hAnsi="仿宋_GB2312" w:eastAsia="仿宋_GB2312" w:cs="仿宋_GB2312"/>
          <w:b w:val="0"/>
          <w:bCs w:val="0"/>
          <w:spacing w:val="14"/>
          <w:sz w:val="32"/>
          <w:szCs w:val="32"/>
        </w:rPr>
      </w:pPr>
    </w:p>
    <w:p w14:paraId="6A4D182F">
      <w:pPr>
        <w:rPr>
          <w:rFonts w:ascii="Arial"/>
          <w:sz w:val="21"/>
        </w:rPr>
      </w:pPr>
    </w:p>
    <w:sectPr>
      <w:headerReference r:id="rId5" w:type="default"/>
      <w:footerReference r:id="rId6" w:type="default"/>
      <w:pgSz w:w="11920" w:h="1683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B5143F-55AE-4959-9C96-4BB837C45E28}"/>
  </w:font>
  <w:font w:name="黑体">
    <w:panose1 w:val="02010609060101010101"/>
    <w:charset w:val="86"/>
    <w:family w:val="auto"/>
    <w:pitch w:val="default"/>
    <w:sig w:usb0="800002BF" w:usb1="38CF7CFA" w:usb2="00000016" w:usb3="00000000" w:csb0="00040001" w:csb1="00000000"/>
    <w:embedRegular r:id="rId2" w:fontKey="{403B1042-D4D5-4019-B7B2-B55B542D2A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A6C4F2AE-338C-4655-8216-B75ABBC35814}"/>
  </w:font>
  <w:font w:name="仿宋_GB2312">
    <w:panose1 w:val="02010609030101010101"/>
    <w:charset w:val="86"/>
    <w:family w:val="auto"/>
    <w:pitch w:val="default"/>
    <w:sig w:usb0="00000001" w:usb1="080E0000" w:usb2="00000000" w:usb3="00000000" w:csb0="00040000" w:csb1="00000000"/>
    <w:embedRegular r:id="rId4" w:fontKey="{C190D9ED-AC2A-4282-942B-DE6FBB21AF3C}"/>
  </w:font>
  <w:font w:name="楷体_GB2312">
    <w:panose1 w:val="02010609030101010101"/>
    <w:charset w:val="86"/>
    <w:family w:val="auto"/>
    <w:pitch w:val="default"/>
    <w:sig w:usb0="00000001" w:usb1="080E0000" w:usb2="00000000" w:usb3="00000000" w:csb0="00040000" w:csb1="00000000"/>
    <w:embedRegular r:id="rId5" w:fontKey="{F3FD201A-C5C7-4101-B802-2E5FC10EB6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AC9B">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E88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9053A1"/>
    <w:rsid w:val="24AA6E0D"/>
    <w:rsid w:val="47775577"/>
    <w:rsid w:val="4D955B9C"/>
    <w:rsid w:val="5CFF3BED"/>
    <w:rsid w:val="5E405D36"/>
    <w:rsid w:val="66785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3105</Words>
  <Characters>3165</Characters>
  <TotalTime>31</TotalTime>
  <ScaleCrop>false</ScaleCrop>
  <LinksUpToDate>false</LinksUpToDate>
  <CharactersWithSpaces>3165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2025-03-25T16:43:00Z</dcterms:created>
  <dc:creator>Administrator</dc:creator>
  <cp:lastModifiedBy>WPS_1654836395</cp:lastModifiedBy>
  <dcterms:modified xsi:type="dcterms:W3CDTF">2025-03-27T03:44:51Z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2025-03-25T16:43:33Z</vt:filetime>
  </property>
  <property fmtid="{D5CDD505-2E9C-101B-9397-08002B2CF9AE}" pid="4" name="UsrData">
    <vt:lpwstr>67e26cb2daef570020b17fefwl</vt:lpwstr>
  </property>
  <property fmtid="{D5CDD505-2E9C-101B-9397-08002B2CF9AE}" pid="5" name="KSOTemplateDocerSaveRecord">
    <vt:lpwstr>eyJoZGlkIjoiOGM5ODA5NmYxNzA5YTMyZjJiMjliMzgzMTliNjY2YjMiLCJ1c2VySWQiOiIxMzgzMzM0NzM1In0=</vt:lpwstr>
  </property>
  <property fmtid="{D5CDD505-2E9C-101B-9397-08002B2CF9AE}" pid="6" name="KSOProductBuildVer">
    <vt:lpwstr>2052-12.1.0.20305</vt:lpwstr>
  </property>
  <property fmtid="{D5CDD505-2E9C-101B-9397-08002B2CF9AE}" pid="7" name="ICV">
    <vt:lpwstr>0BE4A2DA87794C618847F9AFE18176DE_13</vt:lpwstr>
  </property>
</Properties>
</file>