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61F1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2200" w:firstLineChars="500"/>
        <w:jc w:val="both"/>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湟中区市场监督管理局</w:t>
      </w:r>
    </w:p>
    <w:p w14:paraId="6D01354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2024年法治政府建设情况报告</w:t>
      </w:r>
    </w:p>
    <w:p w14:paraId="22373668">
      <w:pPr>
        <w:keepNext w:val="0"/>
        <w:keepLines w:val="0"/>
        <w:pageBreakBefore w:val="0"/>
        <w:widowControl w:val="0"/>
        <w:kinsoku/>
        <w:wordWrap/>
        <w:overflowPunct/>
        <w:topLinePunct w:val="0"/>
        <w:autoSpaceDE/>
        <w:autoSpaceDN/>
        <w:bidi w:val="0"/>
        <w:adjustRightInd/>
        <w:snapToGrid/>
        <w:spacing w:line="576" w:lineRule="exact"/>
        <w:ind w:left="0" w:firstLine="880" w:firstLineChars="200"/>
        <w:textAlignment w:val="auto"/>
        <w:outlineLvl w:val="9"/>
        <w:rPr>
          <w:rFonts w:hint="eastAsia" w:ascii="方正小标宋简体" w:hAnsi="方正小标宋简体" w:eastAsia="方正小标宋简体" w:cs="方正小标宋简体"/>
          <w:sz w:val="44"/>
          <w:szCs w:val="44"/>
          <w:lang w:val="en-US" w:eastAsia="zh-CN"/>
        </w:rPr>
      </w:pPr>
    </w:p>
    <w:p w14:paraId="22DC2D0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西宁市湟中区</w:t>
      </w:r>
      <w:r>
        <w:rPr>
          <w:rFonts w:hint="eastAsia" w:ascii="仿宋_GB2312" w:hAnsi="仿宋_GB2312" w:eastAsia="仿宋_GB2312" w:cs="仿宋_GB2312"/>
          <w:sz w:val="32"/>
          <w:szCs w:val="32"/>
        </w:rPr>
        <w:t>市场监督管理局坚持</w:t>
      </w:r>
      <w:r>
        <w:rPr>
          <w:rFonts w:hint="eastAsia" w:ascii="仿宋_GB2312" w:hAnsi="仿宋_GB2312" w:eastAsia="仿宋_GB2312" w:cs="仿宋_GB2312"/>
          <w:color w:val="auto"/>
          <w:sz w:val="32"/>
          <w:szCs w:val="32"/>
          <w:lang w:val="en-US" w:eastAsia="zh-CN"/>
        </w:rPr>
        <w:t>以习近平新时代中国特色社会主义思想为指导，全面贯彻落实党的二十大和二十届历次全会精神，</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w:t>
      </w:r>
      <w:bookmarkStart w:id="0" w:name="_GoBack"/>
      <w:bookmarkEnd w:id="0"/>
      <w:r>
        <w:rPr>
          <w:rFonts w:hint="eastAsia" w:ascii="仿宋_GB2312" w:hAnsi="仿宋_GB2312" w:eastAsia="仿宋_GB2312" w:cs="仿宋_GB2312"/>
          <w:sz w:val="32"/>
          <w:szCs w:val="32"/>
        </w:rPr>
        <w:t>府和上级部门的正确领导下，紧扣法定职责，认真落实各项</w:t>
      </w:r>
      <w:r>
        <w:rPr>
          <w:rFonts w:hint="eastAsia" w:ascii="仿宋_GB2312" w:hAnsi="仿宋_GB2312" w:eastAsia="仿宋_GB2312" w:cs="仿宋_GB2312"/>
          <w:sz w:val="32"/>
          <w:szCs w:val="32"/>
          <w:lang w:val="en-US" w:eastAsia="zh-CN"/>
        </w:rPr>
        <w:t>法治市场监管建设工作，</w:t>
      </w:r>
      <w:r>
        <w:rPr>
          <w:rFonts w:hint="eastAsia" w:ascii="仿宋_GB2312" w:hAnsi="仿宋_GB2312" w:eastAsia="仿宋_GB2312" w:cs="仿宋_GB2312"/>
          <w:sz w:val="32"/>
          <w:szCs w:val="32"/>
        </w:rPr>
        <w:t>现将工作情况总结如下：</w:t>
      </w:r>
    </w:p>
    <w:p w14:paraId="2BB9EA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一、严格落实党政主要负责人履行推进法治建设第一责任人职责</w:t>
      </w:r>
    </w:p>
    <w:p w14:paraId="76E684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（一）加强组织领导。</w:t>
      </w:r>
      <w:r>
        <w:rPr>
          <w:rFonts w:hint="eastAsia" w:ascii="仿宋_GB2312" w:hAnsi="仿宋_GB2312" w:eastAsia="仿宋_GB2312" w:cs="仿宋_GB2312"/>
          <w:b w:val="0"/>
          <w:bCs/>
          <w:sz w:val="32"/>
          <w:szCs w:val="32"/>
          <w:lang w:val="en-US" w:eastAsia="zh-CN"/>
        </w:rPr>
        <w:t>坚持将法治建设工作置于全局布局上思考谋划，确保市场监管的公正性、权威性和有效性。</w:t>
      </w:r>
      <w:r>
        <w:rPr>
          <w:rFonts w:hint="eastAsia" w:ascii="仿宋_GB2312" w:hAnsi="仿宋_GB2312" w:eastAsia="仿宋_GB2312" w:cs="仿宋_GB2312"/>
          <w:b w:val="0"/>
          <w:bCs/>
          <w:sz w:val="32"/>
          <w:szCs w:val="32"/>
        </w:rPr>
        <w:t>强化对法治政府建设工作的领导，完善以</w:t>
      </w:r>
      <w:r>
        <w:rPr>
          <w:rFonts w:hint="eastAsia" w:ascii="仿宋_GB2312" w:hAnsi="仿宋_GB2312" w:eastAsia="仿宋_GB2312" w:cs="仿宋_GB2312"/>
          <w:b w:val="0"/>
          <w:bCs/>
          <w:sz w:val="32"/>
          <w:szCs w:val="32"/>
          <w:lang w:eastAsia="zh-CN"/>
        </w:rPr>
        <w:t>主要领导</w:t>
      </w:r>
      <w:r>
        <w:rPr>
          <w:rFonts w:hint="eastAsia" w:ascii="仿宋_GB2312" w:hAnsi="仿宋_GB2312" w:eastAsia="仿宋_GB2312" w:cs="仿宋_GB2312"/>
          <w:b w:val="0"/>
          <w:bCs/>
          <w:sz w:val="32"/>
          <w:szCs w:val="32"/>
        </w:rPr>
        <w:t>为第一责任人</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分管领导具体抓</w:t>
      </w:r>
      <w:r>
        <w:rPr>
          <w:rFonts w:hint="eastAsia" w:ascii="仿宋_GB2312" w:hAnsi="仿宋_GB2312" w:eastAsia="仿宋_GB2312" w:cs="仿宋_GB2312"/>
          <w:b w:val="0"/>
          <w:bCs/>
          <w:sz w:val="32"/>
          <w:szCs w:val="32"/>
          <w:lang w:val="en-US" w:eastAsia="zh-CN"/>
        </w:rPr>
        <w:t>,各所、室</w:t>
      </w:r>
      <w:r>
        <w:rPr>
          <w:rFonts w:hint="eastAsia" w:ascii="仿宋_GB2312" w:hAnsi="仿宋_GB2312" w:eastAsia="仿宋_GB2312" w:cs="仿宋_GB2312"/>
          <w:b w:val="0"/>
          <w:bCs/>
          <w:sz w:val="32"/>
          <w:szCs w:val="32"/>
        </w:rPr>
        <w:t>分工负责落实的工作领导机制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夯实党政主要负责人切实履行推进法治政府建设第一责任人职责，把党的领导贯彻到法治政府建设全过程各方面，为法治政府建设提供了强有力的政治保障和组织保障。</w:t>
      </w:r>
    </w:p>
    <w:p w14:paraId="554E5F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（二）贯彻决策部署。</w:t>
      </w:r>
      <w:r>
        <w:rPr>
          <w:rFonts w:hint="eastAsia" w:ascii="仿宋_GB2312" w:hAnsi="仿宋_GB2312" w:eastAsia="仿宋_GB2312" w:cs="仿宋_GB2312"/>
          <w:b w:val="0"/>
          <w:bCs/>
          <w:sz w:val="32"/>
          <w:szCs w:val="32"/>
          <w:lang w:val="en-US" w:eastAsia="zh-CN"/>
        </w:rPr>
        <w:t>组织召开了法治政府建设领导小组工作会议、执法突出问题专题整治会议，研究并安排部署法治政府建设重点工作。制定印发了《西宁市湟中区市场监督管理局法治政府工作要点》，明确各项工作责任室所，强化督查检查，以党组扩大会议、工作例会等形式，定期听取各项工作进展，研究解决存在的问题，确保法治政府建设工作按时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截至目前，召开专题安排部署会议</w:t>
      </w:r>
      <w:r>
        <w:rPr>
          <w:rFonts w:hint="eastAsia" w:ascii="仿宋_GB2312" w:hAnsi="仿宋_GB2312" w:eastAsia="仿宋_GB2312" w:cs="仿宋_GB2312"/>
          <w:sz w:val="32"/>
          <w:szCs w:val="32"/>
          <w:lang w:val="en-US" w:eastAsia="zh-CN"/>
        </w:rPr>
        <w:t>2次，重点安排部署会议5次，汇报工作2次。</w:t>
      </w:r>
    </w:p>
    <w:p w14:paraId="0C0897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val="en-US" w:eastAsia="zh-CN"/>
        </w:rPr>
        <w:t>（三）完善工作机制。</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认真贯彻民主集中制原则，涉及重大行政</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案件</w:t>
      </w:r>
      <w:r>
        <w:rPr>
          <w:rFonts w:hint="eastAsia" w:ascii="仿宋_GB2312" w:hAnsi="仿宋_GB2312" w:eastAsia="仿宋_GB2312" w:cs="仿宋_GB2312"/>
          <w:sz w:val="32"/>
          <w:szCs w:val="32"/>
        </w:rPr>
        <w:t>进行集中研讨，对集体讨论的意见或建议进行收集、汇总，对涉及合法性、必要性、可行性进行充分讨论</w:t>
      </w:r>
      <w:r>
        <w:rPr>
          <w:rFonts w:hint="eastAsia" w:ascii="仿宋_GB2312" w:hAnsi="仿宋_GB2312" w:eastAsia="仿宋_GB2312" w:cs="仿宋_GB2312"/>
          <w:sz w:val="32"/>
          <w:szCs w:val="32"/>
          <w:lang w:eastAsia="zh-CN"/>
        </w:rPr>
        <w:t>，截至目前，开展集体讨论案件</w:t>
      </w:r>
      <w:r>
        <w:rPr>
          <w:rFonts w:hint="eastAsia" w:ascii="仿宋_GB2312" w:hAnsi="仿宋_GB2312" w:eastAsia="仿宋_GB2312" w:cs="仿宋_GB2312"/>
          <w:sz w:val="32"/>
          <w:szCs w:val="32"/>
          <w:lang w:val="en-US" w:eastAsia="zh-CN"/>
        </w:rPr>
        <w:t>25起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color w:val="auto"/>
          <w:kern w:val="2"/>
          <w:sz w:val="32"/>
          <w:szCs w:val="32"/>
          <w:lang w:val="en-US" w:eastAsia="zh-CN" w:bidi="ar-SA"/>
        </w:rPr>
        <w:t>积极落实法律顾问工作制度，聘请1名律师作为我局法律顾问，积极参与重大决策、重大合同、重大案件等的合法性审查。共参与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讨论5次、参与起草合同3次；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三是</w:t>
      </w:r>
      <w:r>
        <w:rPr>
          <w:rFonts w:hint="eastAsia" w:ascii="仿宋_GB2312" w:hAnsi="仿宋_GB2312" w:eastAsia="仿宋_GB2312" w:cs="仿宋_GB2312"/>
          <w:b w:val="0"/>
          <w:bCs w:val="0"/>
          <w:sz w:val="32"/>
          <w:szCs w:val="32"/>
        </w:rPr>
        <w:t>完善</w:t>
      </w:r>
      <w:r>
        <w:rPr>
          <w:rFonts w:hint="eastAsia" w:ascii="仿宋_GB2312" w:hAnsi="仿宋_GB2312" w:eastAsia="仿宋_GB2312" w:cs="仿宋_GB2312"/>
          <w:b w:val="0"/>
          <w:bCs w:val="0"/>
          <w:sz w:val="32"/>
          <w:szCs w:val="32"/>
          <w:lang w:eastAsia="zh-CN"/>
        </w:rPr>
        <w:t>更新相关制度，根据市局及区人民政府对于依法行政的要求，完善更新了《西宁市湟中区市场监督管理局行政执法三项制度》《西宁市湟中区市场监督管理局行政执法音像设备管理制度》，进一步明确执法程序规范及执法监督要求。</w:t>
      </w:r>
    </w:p>
    <w:p w14:paraId="1295D55A">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二、坚持依法行政，深入推进法治政府建设</w:t>
      </w:r>
    </w:p>
    <w:p w14:paraId="79D46C7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sz w:val="32"/>
          <w:szCs w:val="32"/>
          <w:lang w:val="en-US" w:eastAsia="zh-CN"/>
        </w:rPr>
        <w:t>（一）全面落实法治思想。</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党组理论中心组学习、党支部集中学习、个人自学等方式系统学习习近平总书记关于全面依法治国的重要论述，学习掌握中国特色社会主义法律体系，牢固树立“四个意识”，切实增强贯彻落实党中央关于法治建设重大决策部署的思想自觉和行动自觉，不断提升运用法治思维和法治方式的能力和水平。截止目前，召开习近平法治思想专题会议4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深入学习《中国共产党章程》《中国共产党纪律处分条例》《中国共产党党内监督条例》等党内法规，坚持从严治党，用法治思想规范党员干部管理。截止目前，共开展集中学习33次；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扎实开展市监相关法律学习。将《食品安全法》《消费者权益保护法》《广告法》等纳入党组理论学习中心组学习重点内容，以领学加交流讨论等形式系统学习市场监管相关法律法规，共开展专题学习8次。</w:t>
      </w:r>
    </w:p>
    <w:p w14:paraId="748C4007">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sz w:val="32"/>
          <w:szCs w:val="32"/>
          <w:lang w:val="en-US" w:eastAsia="zh-CN"/>
        </w:rPr>
        <w:t>（二）全面履行市监职能，营造法治化营商环境。</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实现“一网通办”，已完成将企业登记、公章刻制、申领发票和税控设备等纳入省企业登记全程电子化平台，营业执照新办时限压缩至0.5个工作日内；</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严格落实“高效办成一件事”。通过信息共享、流程再造、部门协同，促成高频许可事项“一件事”一次办。截至2024年10月30日，通过“一件事”套餐企业开办581户，企业简易注销65户；</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严格落实经营主体住所登记标准化。充分利用全省统一标准化地址库，通过信息技术手段打通数据壁垒，实现企业住所信息与不动产登记信息的可校验和智能匹配，简化登记流程；</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严格推行“午间不断岗”“周六不休息”工作模式，打造便民高效的登记服务环境；</w:t>
      </w:r>
      <w:r>
        <w:rPr>
          <w:rFonts w:hint="eastAsia" w:ascii="仿宋_GB2312" w:hAnsi="仿宋_GB2312" w:eastAsia="仿宋_GB2312" w:cs="仿宋_GB2312"/>
          <w:b/>
          <w:bCs/>
          <w:color w:val="auto"/>
          <w:kern w:val="2"/>
          <w:sz w:val="32"/>
          <w:szCs w:val="32"/>
          <w:lang w:val="en-US" w:eastAsia="zh-CN" w:bidi="ar-SA"/>
        </w:rPr>
        <w:t>五是</w:t>
      </w:r>
      <w:r>
        <w:rPr>
          <w:rFonts w:hint="eastAsia" w:ascii="仿宋_GB2312" w:hAnsi="仿宋_GB2312" w:eastAsia="仿宋_GB2312" w:cs="仿宋_GB2312"/>
          <w:color w:val="auto"/>
          <w:kern w:val="2"/>
          <w:sz w:val="32"/>
          <w:szCs w:val="32"/>
          <w:lang w:val="en-US" w:eastAsia="zh-CN" w:bidi="ar-SA"/>
        </w:rPr>
        <w:t>打通办事“绿色通道”。立足“小窗口”，服务“大民生”，对老年人、残疾人等特殊人群开通“绿色通道”，按需提供咨询解答、协助资料填写及“上门办理”的方式等提供人性化服务。</w:t>
      </w:r>
    </w:p>
    <w:p w14:paraId="2ADA9BB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sz w:val="32"/>
          <w:szCs w:val="32"/>
          <w:lang w:val="en-US" w:eastAsia="zh-CN"/>
        </w:rPr>
        <w:t>（三）规范执法程序。</w:t>
      </w: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严</w:t>
      </w:r>
      <w:r>
        <w:rPr>
          <w:rFonts w:hint="eastAsia" w:ascii="仿宋_GB2312" w:hAnsi="仿宋_GB2312" w:eastAsia="仿宋_GB2312" w:cs="仿宋_GB2312"/>
          <w:color w:val="auto"/>
          <w:kern w:val="2"/>
          <w:sz w:val="32"/>
          <w:szCs w:val="32"/>
          <w:lang w:val="en-US" w:eastAsia="zh-CN" w:bidi="ar-SA"/>
        </w:rPr>
        <w:t>格规范执法行为。严格执法程序，实行执法人员持证上岗、亮证执法，规范自由裁量；</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及时将行政处罚信息录入青海省市场监督管理局综合业务监管系统面向社会公示。截至目前，结案34起，已全部完成公示；</w:t>
      </w:r>
      <w:r>
        <w:rPr>
          <w:rFonts w:hint="eastAsia" w:ascii="仿宋_GB2312" w:hAnsi="仿宋_GB2312" w:eastAsia="仿宋_GB2312" w:cs="仿宋_GB2312"/>
          <w:color w:val="10253F" w:themeColor="text2" w:themeShade="80"/>
          <w:kern w:val="2"/>
          <w:sz w:val="32"/>
          <w:szCs w:val="32"/>
          <w:lang w:val="en-US" w:eastAsia="zh-CN" w:bidi="ar-SA"/>
        </w:rPr>
        <w:t>三</w:t>
      </w:r>
      <w:r>
        <w:rPr>
          <w:rFonts w:hint="eastAsia" w:ascii="仿宋_GB2312" w:hAnsi="仿宋_GB2312" w:eastAsia="仿宋_GB2312" w:cs="仿宋_GB2312"/>
          <w:b/>
          <w:bCs/>
          <w:color w:val="10253F" w:themeColor="text2" w:themeShade="80"/>
          <w:kern w:val="2"/>
          <w:sz w:val="32"/>
          <w:szCs w:val="32"/>
          <w:lang w:val="en-US" w:eastAsia="zh-CN" w:bidi="ar-SA"/>
        </w:rPr>
        <w:t>是</w:t>
      </w:r>
      <w:r>
        <w:rPr>
          <w:rFonts w:hint="eastAsia" w:ascii="仿宋_GB2312" w:hAnsi="仿宋_GB2312" w:eastAsia="仿宋_GB2312" w:cs="仿宋_GB2312"/>
          <w:color w:val="auto"/>
          <w:kern w:val="2"/>
          <w:sz w:val="32"/>
          <w:szCs w:val="32"/>
          <w:lang w:val="en-US" w:eastAsia="zh-CN" w:bidi="ar-SA"/>
        </w:rPr>
        <w:t>执法全过程记录，规范执法文书，</w:t>
      </w:r>
      <w:r>
        <w:rPr>
          <w:rFonts w:hint="eastAsia" w:ascii="仿宋_GB2312" w:hAnsi="仿宋_GB2312" w:eastAsia="仿宋_GB2312" w:cs="仿宋_GB2312"/>
          <w:sz w:val="32"/>
          <w:szCs w:val="32"/>
        </w:rPr>
        <w:t>确保执法文书合法规范、客观全面、及时准确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US" w:eastAsia="zh-CN" w:bidi="ar-SA"/>
        </w:rPr>
        <w:t>合理使用执法记录仪，</w:t>
      </w:r>
      <w:r>
        <w:rPr>
          <w:rFonts w:hint="eastAsia" w:ascii="仿宋_GB2312" w:hAnsi="仿宋_GB2312" w:eastAsia="仿宋_GB2312" w:cs="仿宋_GB2312"/>
          <w:sz w:val="32"/>
          <w:szCs w:val="32"/>
        </w:rPr>
        <w:t>完善执法案卷管理制度确保所有行政执法行为有据可查。</w:t>
      </w:r>
      <w:r>
        <w:rPr>
          <w:rFonts w:hint="eastAsia" w:ascii="仿宋_GB2312" w:hAnsi="仿宋_GB2312" w:eastAsia="仿宋_GB2312" w:cs="仿宋_GB2312"/>
          <w:color w:val="auto"/>
          <w:kern w:val="2"/>
          <w:sz w:val="32"/>
          <w:szCs w:val="32"/>
          <w:lang w:val="en-US" w:eastAsia="zh-CN" w:bidi="ar-SA"/>
        </w:rPr>
        <w:t>截至目前，我局</w:t>
      </w:r>
      <w:r>
        <w:rPr>
          <w:rFonts w:hint="eastAsia" w:ascii="仿宋_GB2312" w:hAnsi="仿宋_GB2312" w:eastAsia="仿宋_GB2312" w:cs="仿宋_GB2312"/>
          <w:sz w:val="32"/>
          <w:szCs w:val="32"/>
        </w:rPr>
        <w:t>统一使用《</w:t>
      </w:r>
      <w:r>
        <w:rPr>
          <w:rFonts w:hint="eastAsia" w:ascii="仿宋_GB2312" w:hAnsi="仿宋_GB2312" w:eastAsia="仿宋_GB2312" w:cs="仿宋_GB2312"/>
          <w:sz w:val="32"/>
          <w:szCs w:val="32"/>
          <w:lang w:eastAsia="zh-CN"/>
        </w:rPr>
        <w:t>甘肃青海两省市场监督管理行政处罚文书格式范本</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共配置执法记录仪64台、光盘刻录仪17部；</w:t>
      </w:r>
      <w:r>
        <w:rPr>
          <w:rFonts w:hint="eastAsia" w:ascii="仿宋_GB2312" w:hAnsi="仿宋_GB2312" w:eastAsia="仿宋_GB2312" w:cs="仿宋_GB2312"/>
          <w:b/>
          <w:bCs/>
          <w:color w:val="10253F" w:themeColor="text2" w:themeShade="80"/>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严格落实法制审核。由法制室专门负责本单位行政处罚案件的审核工作，截至目前共审核行政处罚案件39件,提出审核意见235条；</w:t>
      </w:r>
      <w:r>
        <w:rPr>
          <w:rFonts w:hint="eastAsia" w:ascii="仿宋_GB2312" w:hAnsi="仿宋_GB2312" w:eastAsia="仿宋_GB2312" w:cs="仿宋_GB2312"/>
          <w:b/>
          <w:bCs/>
          <w:color w:val="auto"/>
          <w:kern w:val="2"/>
          <w:sz w:val="32"/>
          <w:szCs w:val="32"/>
          <w:lang w:val="en-US" w:eastAsia="zh-CN" w:bidi="ar-SA"/>
        </w:rPr>
        <w:t>五是</w:t>
      </w:r>
      <w:r>
        <w:rPr>
          <w:rFonts w:hint="eastAsia" w:ascii="仿宋_GB2312" w:hAnsi="仿宋_GB2312" w:eastAsia="仿宋_GB2312" w:cs="仿宋_GB2312"/>
          <w:color w:val="auto"/>
          <w:kern w:val="2"/>
          <w:sz w:val="32"/>
          <w:szCs w:val="32"/>
          <w:lang w:val="en-US" w:eastAsia="zh-CN" w:bidi="ar-SA"/>
        </w:rPr>
        <w:t>开展基层执法巡查。发挥专职法制员执法规范引导和监督纠错作用，对10个基层监管所执法办案流程进行检查，对存在的问题和薄弱环节现场及时反馈并督促整改，预防和减少执法问题的发生。</w:t>
      </w:r>
    </w:p>
    <w:p w14:paraId="5AAD8C6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（四）加强行政复议和行政应诉工作。</w:t>
      </w:r>
      <w:r>
        <w:rPr>
          <w:rFonts w:hint="eastAsia" w:ascii="仿宋_GB2312" w:hAnsi="仿宋_GB2312" w:eastAsia="仿宋_GB2312" w:cs="仿宋_GB2312"/>
          <w:sz w:val="32"/>
          <w:szCs w:val="32"/>
        </w:rPr>
        <w:t>严格落实行政复议体制改革方案，强化行政复议和行政诉讼工作，认真落实行政机关负责人及相关工作人员出庭应诉制度，</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出庭应诉率</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行政诉讼案件1起，已被法院驳回；</w:t>
      </w:r>
      <w:r>
        <w:rPr>
          <w:rFonts w:hint="eastAsia" w:ascii="仿宋_GB2312" w:hAnsi="仿宋_GB2312" w:eastAsia="仿宋_GB2312" w:cs="仿宋_GB2312"/>
          <w:sz w:val="32"/>
          <w:szCs w:val="32"/>
        </w:rPr>
        <w:t>行政复议案件共</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件，其中</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件申请人撤诉，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驳回行政复议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确认违法，</w:t>
      </w:r>
      <w:r>
        <w:rPr>
          <w:rFonts w:hint="eastAsia" w:ascii="仿宋_GB2312" w:hAnsi="仿宋_GB2312" w:eastAsia="仿宋_GB2312" w:cs="仿宋_GB2312"/>
          <w:sz w:val="32"/>
          <w:szCs w:val="32"/>
          <w:lang w:val="en-US" w:eastAsia="zh-CN"/>
        </w:rPr>
        <w:t>3件正在办理中</w:t>
      </w:r>
      <w:r>
        <w:rPr>
          <w:rFonts w:hint="eastAsia" w:ascii="仿宋_GB2312" w:hAnsi="仿宋_GB2312" w:eastAsia="仿宋_GB2312" w:cs="仿宋_GB2312"/>
          <w:sz w:val="32"/>
          <w:szCs w:val="32"/>
        </w:rPr>
        <w:t>。</w:t>
      </w:r>
    </w:p>
    <w:p w14:paraId="0C8C7BB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（五）全面落实党建引领“有诉必应马上办”工作。</w:t>
      </w:r>
      <w:r>
        <w:rPr>
          <w:rFonts w:hint="eastAsia" w:ascii="仿宋_GB2312" w:hAnsi="仿宋_GB2312" w:eastAsia="仿宋_GB2312" w:cs="仿宋_GB2312"/>
          <w:sz w:val="32"/>
          <w:szCs w:val="32"/>
        </w:rPr>
        <w:t>召开“有诉必应马上办”专题会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传达学习习近平总书记关于作风建设的重要论述及党建引领“有诉必应马上办”相关内容，同时向区消费者权益保护工作联席会议成员单位印发《2024年西宁市湟中区消费者权益保护工作要点的通知》，加强各部门在消费者权益保护工作方面的协作配合，</w:t>
      </w:r>
      <w:r>
        <w:rPr>
          <w:rFonts w:hint="eastAsia" w:ascii="仿宋_GB2312" w:hAnsi="仿宋_GB2312" w:eastAsia="仿宋_GB2312" w:cs="仿宋_GB2312"/>
          <w:sz w:val="32"/>
          <w:szCs w:val="32"/>
        </w:rPr>
        <w:t>集中对各室所维权人员进行法律法规和调解技巧培训，指定专人随时联络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12315投诉举报平台共受理消费纠纷投诉</w:t>
      </w:r>
      <w:r>
        <w:rPr>
          <w:rFonts w:hint="eastAsia" w:ascii="仿宋_GB2312" w:hAnsi="仿宋_GB2312" w:eastAsia="仿宋_GB2312" w:cs="仿宋_GB2312"/>
          <w:sz w:val="32"/>
          <w:szCs w:val="32"/>
          <w:lang w:eastAsia="zh-CN"/>
        </w:rPr>
        <w:t>举报</w:t>
      </w:r>
      <w:r>
        <w:rPr>
          <w:rFonts w:hint="eastAsia" w:ascii="仿宋_GB2312" w:hAnsi="仿宋_GB2312" w:eastAsia="仿宋_GB2312" w:cs="仿宋_GB2312"/>
          <w:sz w:val="32"/>
          <w:szCs w:val="32"/>
          <w:lang w:val="en-US" w:eastAsia="zh-CN"/>
        </w:rPr>
        <w:t>1135</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b w:val="0"/>
          <w:bCs w:val="0"/>
          <w:color w:val="auto"/>
          <w:sz w:val="32"/>
          <w:szCs w:val="32"/>
          <w:lang w:val="en-US" w:eastAsia="zh-CN"/>
        </w:rPr>
        <w:t>截至目前，已处理1052件，待处理83件，挽回经济损失共36.9</w:t>
      </w:r>
      <w:r>
        <w:rPr>
          <w:rFonts w:hint="eastAsia" w:ascii="仿宋_GB2312" w:hAnsi="仿宋_GB2312" w:eastAsia="仿宋_GB2312" w:cs="仿宋_GB2312"/>
          <w:sz w:val="32"/>
          <w:szCs w:val="32"/>
          <w:lang w:val="en-US" w:eastAsia="zh-CN"/>
        </w:rPr>
        <w:t>4万元；12345“有诉必应马上办”平台共承接798起投诉举报及咨询件，其中，已办理773起，正在办理25起，挽回经济损失24.91万元。</w:t>
      </w:r>
    </w:p>
    <w:p w14:paraId="3CCE1C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（六）加大重点领域执法监管。</w:t>
      </w:r>
    </w:p>
    <w:p w14:paraId="5FC80D1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lang w:val="en-US" w:eastAsia="zh-CN"/>
        </w:rPr>
        <w:t>保障食品安全防线。</w:t>
      </w:r>
      <w:r>
        <w:rPr>
          <w:rFonts w:hint="eastAsia" w:ascii="仿宋_GB2312" w:hAnsi="仿宋_GB2312" w:eastAsia="仿宋_GB2312" w:cs="仿宋_GB2312"/>
          <w:sz w:val="32"/>
          <w:szCs w:val="32"/>
          <w:lang w:val="en-US" w:eastAsia="zh-CN"/>
        </w:rPr>
        <w:t>1.压实“两个责任”。区食安办进一步优化末端发力、终端见效长效机制，全面落实食品安全属地管理和企业主体责任（即“两个责任”），全区包保干部第一、二、三季度督导率为100%；2.开展校园食品安全专项整治。年内对中小学食堂开展4轮全覆盖检查，下达当场处罚给予警告6家，立案3起；3.大力排查食品生产经营环节风险隐患。累计检查食品生产经营主体7600余户，下达责令改正通知书52份；4.持续开展食品及食用农产品监督抽检。完成食品监督抽检350批次，不合格9批次；食用农产品抽检498批次，不合格21批次，正在核查处置中；5.做好重大活动食品安全保障工作。圆满完成区“两会”“中高考”“环湖赛”等食品安全保障工作6次。</w:t>
      </w:r>
    </w:p>
    <w:p w14:paraId="6CCE34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二是加强“两品一械”安全监管。</w:t>
      </w:r>
      <w:r>
        <w:rPr>
          <w:rFonts w:hint="eastAsia" w:ascii="仿宋_GB2312" w:hAnsi="仿宋_GB2312" w:eastAsia="仿宋_GB2312" w:cs="仿宋_GB2312"/>
          <w:sz w:val="32"/>
          <w:szCs w:val="32"/>
          <w:lang w:val="en-US" w:eastAsia="zh-CN"/>
        </w:rPr>
        <w:t>1.累计检查药品经营企业489家次，发现部分药店存在温湿度记录不规范、近效期药品过多、药械陈列储存不符合要求等违法行为，共下达责令改正通知书9份；2.累计检查药品和医疗器械使用单位415家次，对发现的个别台账建立不完善、超范围经营等问题进行现场整改；3.开展国家、省级化妆品抽检工作，完成本年度国家、省局下达的17批化妆品抽检及系统录入工作；4.完成国家“两品一械”不良反应监测上报工作，到目前为止共完成药品不良反应监测上报180份、医疗器械不良反应监测上报100份、化妆品不良反应监测上报30份。</w:t>
      </w:r>
    </w:p>
    <w:p w14:paraId="10E12D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三是强化</w:t>
      </w:r>
      <w:r>
        <w:rPr>
          <w:rFonts w:hint="eastAsia" w:ascii="仿宋_GB2312" w:hAnsi="仿宋_GB2312" w:eastAsia="仿宋_GB2312" w:cs="仿宋_GB2312"/>
          <w:b/>
          <w:bCs/>
          <w:sz w:val="32"/>
          <w:szCs w:val="32"/>
        </w:rPr>
        <w:t>保障特种设备安全</w:t>
      </w:r>
      <w:r>
        <w:rPr>
          <w:rFonts w:hint="eastAsia" w:ascii="仿宋_GB2312" w:hAnsi="仿宋_GB2312" w:eastAsia="仿宋_GB2312" w:cs="仿宋_GB2312"/>
          <w:b/>
          <w:bCs/>
          <w:sz w:val="32"/>
          <w:szCs w:val="32"/>
          <w:lang w:eastAsia="zh-CN"/>
        </w:rPr>
        <w:t>监管。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共组织开展“特种设备超期未检‘清红行动’”、“锅炉安全提升行动”“市场监管领域城镇燃气安全专项整治行动”“电梯安全筑底行动”等特种设备安全专项整治行动4次，检查特种设备使用单位 359 家次，特种设备1652台次,发现消除安全隐患16条，下达安全监察指令书15份，受理电梯投诉举报11 件，办结率100%。按照《特种设备安全法》和安全技术规范要求，完成新建及更新改造燃气压力管道施工告知87条，98.944千米。</w:t>
      </w:r>
    </w:p>
    <w:p w14:paraId="08690035">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四是扎实推进质量计量安全监管。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开展生产许可获证企业安全监管。经查，辖区内获证生产企业证照信息齐全，重要生产设备和检验设备运行正常，未发现相应质量违法行为；2.开展重点工业产品质量安全监管。在全区范围内开展烟花爆竹质量安全专项检查，共检查烟花爆竹经营单位70家，未发现相应质量违法行为；3.开展强制性认证产品质量监管。对我区生产销售的电灶、家用小电器等强制性认证产品进行监督检查，共检查销售门店103家/次，3C产品10大类300余台。下架52余台无CCC认证的燃气灶具，督促经营单位联系生产厂家退回，现已全部退回。</w:t>
      </w:r>
    </w:p>
    <w:p w14:paraId="728F60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sz w:val="32"/>
          <w:szCs w:val="32"/>
          <w:lang w:val="en-US" w:eastAsia="zh-CN"/>
        </w:rPr>
        <w:t>（七）依法办理行政执法案件。</w:t>
      </w:r>
      <w:r>
        <w:rPr>
          <w:rFonts w:hint="default" w:ascii="仿宋" w:hAnsi="仿宋" w:eastAsia="仿宋" w:cs="仿宋"/>
          <w:color w:val="000000" w:themeColor="text1"/>
          <w:kern w:val="2"/>
          <w:sz w:val="32"/>
          <w:szCs w:val="32"/>
          <w:lang w:val="en-US" w:eastAsia="zh-CN" w:bidi="ar-SA"/>
          <w14:textFill>
            <w14:solidFill>
              <w14:schemeClr w14:val="tx1"/>
            </w14:solidFill>
          </w14:textFill>
        </w:rPr>
        <w:t>截至目前，全局共</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办理案件2339</w:t>
      </w:r>
      <w:r>
        <w:rPr>
          <w:rFonts w:hint="default" w:ascii="仿宋" w:hAnsi="仿宋" w:eastAsia="仿宋" w:cs="仿宋"/>
          <w:color w:val="000000" w:themeColor="text1"/>
          <w:kern w:val="2"/>
          <w:sz w:val="32"/>
          <w:szCs w:val="32"/>
          <w:lang w:val="en-US" w:eastAsia="zh-CN" w:bidi="ar-SA"/>
          <w14:textFill>
            <w14:solidFill>
              <w14:schemeClr w14:val="tx1"/>
            </w14:solidFill>
          </w14:textFill>
        </w:rPr>
        <w:t>起，其中简易程序案件</w:t>
      </w:r>
      <w:r>
        <w:rPr>
          <w:rFonts w:hint="eastAsia" w:ascii="仿宋" w:hAnsi="仿宋" w:eastAsia="仿宋" w:cs="仿宋"/>
          <w:color w:val="000000" w:themeColor="text1"/>
          <w:kern w:val="2"/>
          <w:sz w:val="32"/>
          <w:szCs w:val="32"/>
          <w:lang w:val="en-US" w:eastAsia="zh-CN" w:bidi="ar-SA"/>
          <w14:textFill>
            <w14:solidFill>
              <w14:schemeClr w14:val="tx1"/>
            </w14:solidFill>
          </w14:textFill>
        </w:rPr>
        <w:t>2288</w:t>
      </w:r>
      <w:r>
        <w:rPr>
          <w:rFonts w:hint="default" w:ascii="仿宋" w:hAnsi="仿宋" w:eastAsia="仿宋" w:cs="仿宋"/>
          <w:color w:val="000000" w:themeColor="text1"/>
          <w:kern w:val="2"/>
          <w:sz w:val="32"/>
          <w:szCs w:val="32"/>
          <w:lang w:val="en-US" w:eastAsia="zh-CN" w:bidi="ar-SA"/>
          <w14:textFill>
            <w14:solidFill>
              <w14:schemeClr w14:val="tx1"/>
            </w14:solidFill>
          </w14:textFill>
        </w:rPr>
        <w:t>起，罚款</w:t>
      </w:r>
      <w:r>
        <w:rPr>
          <w:rFonts w:hint="eastAsia" w:ascii="仿宋" w:hAnsi="仿宋" w:eastAsia="仿宋" w:cs="仿宋"/>
          <w:color w:val="000000" w:themeColor="text1"/>
          <w:kern w:val="2"/>
          <w:sz w:val="32"/>
          <w:szCs w:val="32"/>
          <w:lang w:val="en-US" w:eastAsia="zh-CN" w:bidi="ar-SA"/>
          <w14:textFill>
            <w14:solidFill>
              <w14:schemeClr w14:val="tx1"/>
            </w14:solidFill>
          </w14:textFill>
        </w:rPr>
        <w:t>69.29</w:t>
      </w:r>
      <w:r>
        <w:rPr>
          <w:rFonts w:hint="default" w:ascii="仿宋" w:hAnsi="仿宋" w:eastAsia="仿宋" w:cs="仿宋"/>
          <w:color w:val="000000" w:themeColor="text1"/>
          <w:kern w:val="2"/>
          <w:sz w:val="32"/>
          <w:szCs w:val="32"/>
          <w:lang w:val="en-US" w:eastAsia="zh-CN" w:bidi="ar-SA"/>
          <w14:textFill>
            <w14:solidFill>
              <w14:schemeClr w14:val="tx1"/>
            </w14:solidFill>
          </w14:textFill>
        </w:rPr>
        <w:t>万元</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r>
        <w:rPr>
          <w:rFonts w:hint="default" w:ascii="仿宋" w:hAnsi="仿宋" w:eastAsia="仿宋" w:cs="仿宋"/>
          <w:color w:val="000000" w:themeColor="text1"/>
          <w:kern w:val="2"/>
          <w:sz w:val="32"/>
          <w:szCs w:val="32"/>
          <w:lang w:val="en-US" w:eastAsia="zh-CN" w:bidi="ar-SA"/>
          <w14:textFill>
            <w14:solidFill>
              <w14:schemeClr w14:val="tx1"/>
            </w14:solidFill>
          </w14:textFill>
        </w:rPr>
        <w:t>一般程序案件5</w:t>
      </w:r>
      <w:r>
        <w:rPr>
          <w:rFonts w:hint="eastAsia" w:ascii="仿宋" w:hAnsi="仿宋" w:eastAsia="仿宋" w:cs="仿宋"/>
          <w:color w:val="000000" w:themeColor="text1"/>
          <w:kern w:val="2"/>
          <w:sz w:val="32"/>
          <w:szCs w:val="32"/>
          <w:lang w:val="en-US" w:eastAsia="zh-CN" w:bidi="ar-SA"/>
          <w14:textFill>
            <w14:solidFill>
              <w14:schemeClr w14:val="tx1"/>
            </w14:solidFill>
          </w14:textFill>
        </w:rPr>
        <w:t>4</w:t>
      </w:r>
      <w:r>
        <w:rPr>
          <w:rFonts w:hint="default" w:ascii="仿宋" w:hAnsi="仿宋" w:eastAsia="仿宋" w:cs="仿宋"/>
          <w:color w:val="000000" w:themeColor="text1"/>
          <w:kern w:val="2"/>
          <w:sz w:val="32"/>
          <w:szCs w:val="32"/>
          <w:lang w:val="en-US" w:eastAsia="zh-CN" w:bidi="ar-SA"/>
          <w14:textFill>
            <w14:solidFill>
              <w14:schemeClr w14:val="tx1"/>
            </w14:solidFill>
          </w14:textFill>
        </w:rPr>
        <w:t>起，</w:t>
      </w:r>
      <w:r>
        <w:rPr>
          <w:rFonts w:hint="eastAsia" w:ascii="仿宋" w:hAnsi="仿宋" w:eastAsia="仿宋" w:cs="仿宋"/>
          <w:color w:val="000000" w:themeColor="text1"/>
          <w:kern w:val="2"/>
          <w:sz w:val="32"/>
          <w:szCs w:val="32"/>
          <w:lang w:val="en-US" w:eastAsia="zh-CN" w:bidi="ar-SA"/>
          <w14:textFill>
            <w14:solidFill>
              <w14:schemeClr w14:val="tx1"/>
            </w14:solidFill>
          </w14:textFill>
        </w:rPr>
        <w:t>结案34起，</w:t>
      </w:r>
      <w:r>
        <w:rPr>
          <w:rFonts w:hint="default" w:ascii="仿宋" w:hAnsi="仿宋" w:eastAsia="仿宋" w:cs="仿宋"/>
          <w:color w:val="000000" w:themeColor="text1"/>
          <w:kern w:val="2"/>
          <w:sz w:val="32"/>
          <w:szCs w:val="32"/>
          <w:lang w:val="en-US" w:eastAsia="zh-CN" w:bidi="ar-SA"/>
          <w14:textFill>
            <w14:solidFill>
              <w14:schemeClr w14:val="tx1"/>
            </w14:solidFill>
          </w14:textFill>
        </w:rPr>
        <w:t>罚没款</w:t>
      </w:r>
      <w:r>
        <w:rPr>
          <w:rFonts w:hint="eastAsia" w:ascii="仿宋" w:hAnsi="仿宋" w:eastAsia="仿宋" w:cs="仿宋"/>
          <w:color w:val="000000" w:themeColor="text1"/>
          <w:kern w:val="2"/>
          <w:sz w:val="32"/>
          <w:szCs w:val="32"/>
          <w:lang w:val="en-US" w:eastAsia="zh-CN" w:bidi="ar-SA"/>
          <w14:textFill>
            <w14:solidFill>
              <w14:schemeClr w14:val="tx1"/>
            </w14:solidFill>
          </w14:textFill>
        </w:rPr>
        <w:t>28.55</w:t>
      </w:r>
      <w:r>
        <w:rPr>
          <w:rFonts w:hint="default" w:ascii="仿宋" w:hAnsi="仿宋" w:eastAsia="仿宋" w:cs="仿宋"/>
          <w:color w:val="000000" w:themeColor="text1"/>
          <w:kern w:val="2"/>
          <w:sz w:val="32"/>
          <w:szCs w:val="32"/>
          <w:lang w:val="en-US" w:eastAsia="zh-CN" w:bidi="ar-SA"/>
          <w14:textFill>
            <w14:solidFill>
              <w14:schemeClr w14:val="tx1"/>
            </w14:solidFill>
          </w14:textFill>
        </w:rPr>
        <w:t>万元。</w:t>
      </w:r>
    </w:p>
    <w:p w14:paraId="34676D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（八）加强干部职工学法用法。</w:t>
      </w:r>
      <w:r>
        <w:rPr>
          <w:rFonts w:hint="eastAsia" w:ascii="仿宋_GB2312" w:hAnsi="仿宋_GB2312" w:eastAsia="仿宋_GB2312" w:cs="仿宋_GB2312"/>
          <w:b/>
          <w:bCs/>
          <w:color w:val="auto"/>
          <w:kern w:val="0"/>
          <w:sz w:val="32"/>
          <w:szCs w:val="32"/>
          <w:lang w:val="en-US" w:eastAsia="zh-CN"/>
        </w:rPr>
        <w:t>一是</w:t>
      </w:r>
      <w:r>
        <w:rPr>
          <w:rFonts w:hint="eastAsia" w:ascii="仿宋_GB2312" w:hAnsi="仿宋_GB2312" w:eastAsia="仿宋_GB2312" w:cs="仿宋_GB2312"/>
          <w:b w:val="0"/>
          <w:bCs w:val="0"/>
          <w:color w:val="auto"/>
          <w:kern w:val="0"/>
          <w:sz w:val="32"/>
          <w:szCs w:val="32"/>
          <w:lang w:val="en-US" w:eastAsia="zh-CN"/>
        </w:rPr>
        <w:t>充分利用“法宣在线”及“青海省行政执法人员培训系统”等网上学法用法系统，组织干部职工积极学法，进一步增强法治意识，提高依法行政和依法办事能力。截至目前，已完成法宣在线平台40个课时及行政执法平台30个课时的学习，共参加法宣在线、市场监管法律知识竞赛等各类答题活动10次。</w:t>
      </w: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b w:val="0"/>
          <w:bCs w:val="0"/>
          <w:color w:val="auto"/>
          <w:kern w:val="0"/>
          <w:sz w:val="32"/>
          <w:szCs w:val="32"/>
          <w:lang w:val="en-US" w:eastAsia="zh-CN"/>
        </w:rPr>
        <w:t>邀请上级部门具有执法办案经验的老师就执法办案技巧进行授课，截至目前，开展执法技巧培训2次；三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sz w:val="32"/>
          <w:szCs w:val="32"/>
          <w:lang w:val="en-US" w:eastAsia="zh-CN"/>
        </w:rPr>
        <w:t>开展科室长大讲堂活动5次，</w:t>
      </w:r>
      <w:r>
        <w:rPr>
          <w:rFonts w:hint="eastAsia" w:ascii="仿宋_GB2312" w:hAnsi="仿宋_GB2312" w:eastAsia="仿宋_GB2312" w:cs="仿宋_GB2312"/>
          <w:b w:val="0"/>
          <w:bCs w:val="0"/>
          <w:color w:val="auto"/>
          <w:kern w:val="0"/>
          <w:sz w:val="32"/>
          <w:szCs w:val="32"/>
          <w:lang w:val="en-US" w:eastAsia="zh-CN"/>
        </w:rPr>
        <w:t>学习探讨相关业务法律法规，</w:t>
      </w:r>
      <w:r>
        <w:rPr>
          <w:rFonts w:hint="eastAsia" w:ascii="仿宋_GB2312" w:hAnsi="仿宋_GB2312" w:eastAsia="仿宋_GB2312" w:cs="仿宋_GB2312"/>
          <w:b w:val="0"/>
          <w:bCs w:val="0"/>
          <w:sz w:val="32"/>
          <w:szCs w:val="32"/>
          <w:lang w:val="en-US" w:eastAsia="zh-CN"/>
        </w:rPr>
        <w:t>进一步提高执法人员依法行政和依法办事能力；</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color w:val="auto"/>
          <w:kern w:val="0"/>
          <w:sz w:val="32"/>
          <w:szCs w:val="32"/>
          <w:lang w:val="en-US" w:eastAsia="zh-CN"/>
        </w:rPr>
        <w:t>参加省局、市局组织的业务知识培训，</w:t>
      </w:r>
      <w:r>
        <w:rPr>
          <w:rFonts w:hint="eastAsia" w:ascii="仿宋_GB2312" w:hAnsi="仿宋_GB2312" w:eastAsia="仿宋_GB2312" w:cs="仿宋_GB2312"/>
          <w:b w:val="0"/>
          <w:bCs w:val="0"/>
          <w:sz w:val="32"/>
          <w:szCs w:val="32"/>
          <w:lang w:val="en-US" w:eastAsia="zh-CN"/>
        </w:rPr>
        <w:t>进一步提升执法人员的业务能力和水平。</w:t>
      </w:r>
      <w:r>
        <w:rPr>
          <w:rFonts w:hint="eastAsia" w:ascii="仿宋_GB2312" w:hAnsi="仿宋_GB2312" w:eastAsia="仿宋_GB2312" w:cs="仿宋_GB2312"/>
          <w:b w:val="0"/>
          <w:bCs w:val="0"/>
          <w:color w:val="auto"/>
          <w:kern w:val="0"/>
          <w:sz w:val="32"/>
          <w:szCs w:val="32"/>
          <w:lang w:val="en-US" w:eastAsia="zh-CN"/>
        </w:rPr>
        <w:t>截止目前，共参加食品、药品等领域理论知识及实操培训17次，</w:t>
      </w:r>
      <w:r>
        <w:rPr>
          <w:rFonts w:hint="eastAsia" w:ascii="仿宋_GB2312" w:hAnsi="仿宋_GB2312" w:eastAsia="仿宋_GB2312" w:cs="仿宋_GB2312"/>
          <w:b w:val="0"/>
          <w:bCs w:val="0"/>
          <w:sz w:val="32"/>
          <w:szCs w:val="32"/>
          <w:lang w:val="en-US" w:eastAsia="zh-CN"/>
        </w:rPr>
        <w:t>参加人员50人次；</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kern w:val="0"/>
          <w:sz w:val="32"/>
          <w:szCs w:val="32"/>
          <w:lang w:val="en-US" w:eastAsia="zh-CN"/>
        </w:rPr>
        <w:t>是</w:t>
      </w:r>
      <w:r>
        <w:rPr>
          <w:rFonts w:hint="eastAsia" w:ascii="仿宋_GB2312" w:hAnsi="仿宋_GB2312" w:eastAsia="仿宋_GB2312" w:cs="仿宋_GB2312"/>
          <w:b w:val="0"/>
          <w:bCs w:val="0"/>
          <w:sz w:val="32"/>
          <w:szCs w:val="32"/>
          <w:lang w:eastAsia="zh-CN"/>
        </w:rPr>
        <w:t>强化行政执法资格证管理，加强行政执法培训，严格落实执法人员资格管理制度，组织去年以来新调入新录用的</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lang w:eastAsia="zh-CN"/>
        </w:rPr>
        <w:t>名干部进行执法资格考试，已全部通过考试，全局现有</w:t>
      </w:r>
      <w:r>
        <w:rPr>
          <w:rFonts w:hint="eastAsia" w:ascii="仿宋_GB2312" w:hAnsi="仿宋_GB2312" w:eastAsia="仿宋_GB2312" w:cs="仿宋_GB2312"/>
          <w:b w:val="0"/>
          <w:bCs w:val="0"/>
          <w:sz w:val="32"/>
          <w:szCs w:val="32"/>
          <w:lang w:val="en-US" w:eastAsia="zh-CN"/>
        </w:rPr>
        <w:t>75</w:t>
      </w:r>
      <w:r>
        <w:rPr>
          <w:rFonts w:hint="eastAsia" w:ascii="仿宋_GB2312" w:hAnsi="仿宋_GB2312" w:eastAsia="仿宋_GB2312" w:cs="仿宋_GB2312"/>
          <w:b w:val="0"/>
          <w:bCs w:val="0"/>
          <w:sz w:val="32"/>
          <w:szCs w:val="32"/>
          <w:lang w:eastAsia="zh-CN"/>
        </w:rPr>
        <w:t>名执法人员持有行政执法资格证；</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组织执法实务学习，深入一线执法现场学习执法技巧，提升执法人员现场处置能力和应对水平。截至目前，已推荐3名优秀年轻干部赴西宁市市场监督管理局学习。</w:t>
      </w:r>
    </w:p>
    <w:p w14:paraId="49B44EC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sz w:val="32"/>
          <w:szCs w:val="32"/>
          <w:lang w:val="en-US" w:eastAsia="zh-CN"/>
        </w:rPr>
        <w:t>（九）强化普法宣传。</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广场集中宣传、湟中融媒平台、市场主体微信群、面向监管服务对象精准培训等广泛开展“3·15消费者权益保护日”“民法典宣传月”等宣传日活动。截至目前开展普法宣传活动25次，摆放宣传展板60块，发放宣传材料6000余份、宣传物品200余个，现场咨询答疑120余次，辖区LED电子显示屏宣传50余次，在“湟中融媒”微信公众号发布典型案例、消费提醒、温馨提示、宣传等动态16期；</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将普法工作融入执法全过程，通过行政提示、行政约谈等柔性监管方式，不断提升经营者尊法懂法守法意识。</w:t>
      </w:r>
      <w:r>
        <w:rPr>
          <w:rFonts w:hint="eastAsia" w:ascii="仿宋_GB2312" w:hAnsi="仿宋_GB2312" w:eastAsia="仿宋_GB2312" w:cs="仿宋_GB2312"/>
          <w:color w:val="auto"/>
          <w:kern w:val="2"/>
          <w:sz w:val="32"/>
          <w:szCs w:val="32"/>
          <w:lang w:val="en-US" w:eastAsia="zh-CN" w:bidi="ar-SA"/>
        </w:rPr>
        <w:t>截止目前组织召开食品、药品、特种设备等各类约谈提醒告诫会12次，企业培训会9次，签订药品、价格等承诺书600余份。</w:t>
      </w:r>
    </w:p>
    <w:p w14:paraId="49D313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三、下一步工作计划</w:t>
      </w:r>
    </w:p>
    <w:p w14:paraId="3A1DDD6E">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z w:val="32"/>
          <w:szCs w:val="32"/>
        </w:rPr>
        <w:t>我局在</w:t>
      </w:r>
      <w:r>
        <w:rPr>
          <w:rFonts w:hint="eastAsia" w:ascii="仿宋_GB2312" w:hAnsi="仿宋_GB2312" w:eastAsia="仿宋_GB2312" w:cs="仿宋_GB2312"/>
          <w:sz w:val="32"/>
          <w:szCs w:val="32"/>
          <w:lang w:eastAsia="zh-CN"/>
        </w:rPr>
        <w:t>推进法治政府建设</w:t>
      </w:r>
      <w:r>
        <w:rPr>
          <w:rFonts w:hint="eastAsia" w:ascii="仿宋_GB2312" w:hAnsi="仿宋_GB2312" w:eastAsia="仿宋_GB2312" w:cs="仿宋_GB2312"/>
          <w:sz w:val="32"/>
          <w:szCs w:val="32"/>
        </w:rPr>
        <w:t>工作中虽然取得了一定成效，但也存在一</w:t>
      </w:r>
      <w:r>
        <w:rPr>
          <w:rFonts w:hint="eastAsia" w:ascii="仿宋_GB2312" w:hAnsi="仿宋_GB2312" w:eastAsia="仿宋_GB2312" w:cs="仿宋_GB2312"/>
          <w:sz w:val="32"/>
          <w:szCs w:val="32"/>
          <w:lang w:eastAsia="zh-CN"/>
        </w:rPr>
        <w:t>些</w:t>
      </w:r>
      <w:r>
        <w:rPr>
          <w:rFonts w:hint="eastAsia" w:ascii="仿宋_GB2312" w:hAnsi="仿宋_GB2312" w:eastAsia="仿宋_GB2312" w:cs="仿宋_GB2312"/>
          <w:sz w:val="32"/>
          <w:szCs w:val="32"/>
        </w:rPr>
        <w:t>问题和不足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主要表现</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执法力量薄弱和监管专业化水平不高的问题依然突出、行政执法案卷质量对照规范标准存在不足等方面。</w:t>
      </w:r>
    </w:p>
    <w:p w14:paraId="1FB2660F">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下一步我局</w:t>
      </w:r>
      <w:r>
        <w:rPr>
          <w:rFonts w:hint="eastAsia" w:ascii="仿宋_GB2312" w:hAnsi="仿宋_GB2312" w:eastAsia="仿宋_GB2312" w:cs="仿宋_GB2312"/>
          <w:color w:val="auto"/>
          <w:kern w:val="2"/>
          <w:sz w:val="32"/>
          <w:szCs w:val="32"/>
          <w:lang w:val="en-US" w:eastAsia="zh-CN" w:bidi="ar-SA"/>
        </w:rPr>
        <w:t>将结合自身实际，围绕全区工作大局，重点做好以下几项工作，进一步提升我局法治建设水平</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kern w:val="0"/>
          <w:sz w:val="32"/>
          <w:szCs w:val="32"/>
          <w:lang w:val="en-US" w:eastAsia="zh-CN"/>
          <w14:textFill>
            <w14:solidFill>
              <w14:schemeClr w14:val="tx1">
                <w14:lumMod w14:val="95000"/>
                <w14:lumOff w14:val="5000"/>
              </w14:schemeClr>
            </w14:solidFill>
          </w14:textFill>
        </w:rPr>
        <w:t>一是</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持续加强对年轻干部职工的法治培训，以集中培训、传帮带等方式，持续提升年轻干部的业务能力及法治素养，进一步提升我局行政执法规范化建设水平；</w:t>
      </w:r>
      <w:r>
        <w:rPr>
          <w:rFonts w:hint="eastAsia" w:ascii="仿宋_GB2312" w:hAnsi="仿宋_GB2312" w:eastAsia="仿宋_GB2312" w:cs="仿宋_GB2312"/>
          <w:b/>
          <w:bCs/>
          <w:color w:val="0D0D0D" w:themeColor="text1" w:themeTint="F2"/>
          <w:kern w:val="0"/>
          <w:sz w:val="32"/>
          <w:szCs w:val="32"/>
          <w:lang w:val="en-US" w:eastAsia="zh-CN"/>
          <w14:textFill>
            <w14:solidFill>
              <w14:schemeClr w14:val="tx1">
                <w14:lumMod w14:val="95000"/>
                <w14:lumOff w14:val="5000"/>
              </w14:schemeClr>
            </w14:solidFill>
          </w14:textFill>
        </w:rPr>
        <w:t>二是</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通过案卷评查、会议座谈、举办执法人员培训班、警示教育等多种方式，向每一位执法人员传达规范文明执法意识。进一步强化执法人员管理，统一执法标准，落实行政裁量权基准，明确权责边界，杜绝执法不作为、乱作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推动市场监管工作高质量发展。</w:t>
      </w:r>
    </w:p>
    <w:p w14:paraId="06692683">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67E36D73">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23488599">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6B116230">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256C54A5">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21F39363">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1B28FDB5">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5B4E3D36">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6EB84D53">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0AF4F1DB">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63E44A61">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7B7FEE29">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387AD905">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498222BE">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13A9B0FB">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54359187">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3FF8444C">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41C8880B">
      <w:pPr>
        <w:tabs>
          <w:tab w:val="left" w:pos="4993"/>
        </w:tabs>
        <w:bidi w:val="0"/>
        <w:jc w:val="left"/>
        <w:rPr>
          <w:rFonts w:hint="eastAsia"/>
          <w:lang w:val="en-US" w:eastAsia="zh-CN"/>
        </w:rPr>
      </w:pPr>
    </w:p>
    <w:sectPr>
      <w:footerReference r:id="rId3" w:type="default"/>
      <w:footerReference r:id="rId4" w:type="even"/>
      <w:pgSz w:w="11907" w:h="16840"/>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3DA72A-6B9B-47E2-BEE6-1B9569F4B5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F372A29-283B-4B7D-B02A-21DF2E71259F}"/>
  </w:font>
  <w:font w:name="方正小标宋简体">
    <w:panose1 w:val="02000000000000000000"/>
    <w:charset w:val="86"/>
    <w:family w:val="script"/>
    <w:pitch w:val="default"/>
    <w:sig w:usb0="00000001" w:usb1="080E0000" w:usb2="00000000" w:usb3="00000000" w:csb0="00040000" w:csb1="00000000"/>
    <w:embedRegular r:id="rId3" w:fontKey="{4AC6FD92-6DA9-4F9C-9202-0E6092799969}"/>
  </w:font>
  <w:font w:name="楷体_GB2312">
    <w:panose1 w:val="02010609030101010101"/>
    <w:charset w:val="86"/>
    <w:family w:val="auto"/>
    <w:pitch w:val="default"/>
    <w:sig w:usb0="00000001" w:usb1="080E0000" w:usb2="00000000" w:usb3="00000000" w:csb0="00040000" w:csb1="00000000"/>
    <w:embedRegular r:id="rId4" w:fontKey="{ED6389D1-3123-4CE4-998E-0144A396023C}"/>
  </w:font>
  <w:font w:name="仿宋">
    <w:panose1 w:val="02010609060101010101"/>
    <w:charset w:val="86"/>
    <w:family w:val="modern"/>
    <w:pitch w:val="default"/>
    <w:sig w:usb0="800002BF" w:usb1="38CF7CFA" w:usb2="00000016" w:usb3="00000000" w:csb0="00040001" w:csb1="00000000"/>
    <w:embedRegular r:id="rId5" w:fontKey="{BD85E4CD-F379-4F4E-A600-52E001EEA9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5F2C">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F74ECF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2F74ECF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AC1">
    <w:pPr>
      <w:pStyle w:val="6"/>
      <w:framePr w:wrap="around" w:vAnchor="text" w:hAnchor="margin" w:xAlign="right" w:y="1"/>
      <w:rPr>
        <w:rStyle w:val="13"/>
      </w:rPr>
    </w:pPr>
    <w:r>
      <w:fldChar w:fldCharType="begin"/>
    </w:r>
    <w:r>
      <w:rPr>
        <w:rStyle w:val="13"/>
      </w:rPr>
      <w:instrText xml:space="preserve">PAGE  </w:instrText>
    </w:r>
    <w:r>
      <w:fldChar w:fldCharType="end"/>
    </w:r>
  </w:p>
  <w:p w14:paraId="0883835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WMwOGQ5YWZjNWM5MzhkNTk0N2RjMDE0OGZkYzAifQ=="/>
  </w:docVars>
  <w:rsids>
    <w:rsidRoot w:val="00C22013"/>
    <w:rsid w:val="000013E6"/>
    <w:rsid w:val="00015D56"/>
    <w:rsid w:val="00017876"/>
    <w:rsid w:val="00024D88"/>
    <w:rsid w:val="000328FA"/>
    <w:rsid w:val="00037826"/>
    <w:rsid w:val="00042C19"/>
    <w:rsid w:val="00045576"/>
    <w:rsid w:val="000470A9"/>
    <w:rsid w:val="000718E0"/>
    <w:rsid w:val="0008449B"/>
    <w:rsid w:val="00091A9A"/>
    <w:rsid w:val="00092492"/>
    <w:rsid w:val="000B201D"/>
    <w:rsid w:val="000C49DF"/>
    <w:rsid w:val="000C54CE"/>
    <w:rsid w:val="000E6113"/>
    <w:rsid w:val="00111863"/>
    <w:rsid w:val="001228EC"/>
    <w:rsid w:val="00152DD0"/>
    <w:rsid w:val="0016225E"/>
    <w:rsid w:val="001662EE"/>
    <w:rsid w:val="001803C5"/>
    <w:rsid w:val="001877FD"/>
    <w:rsid w:val="00187B6E"/>
    <w:rsid w:val="00191308"/>
    <w:rsid w:val="001A1158"/>
    <w:rsid w:val="001C2FB4"/>
    <w:rsid w:val="001C7235"/>
    <w:rsid w:val="001F2665"/>
    <w:rsid w:val="001F7F2A"/>
    <w:rsid w:val="0020441C"/>
    <w:rsid w:val="0020467F"/>
    <w:rsid w:val="0020688B"/>
    <w:rsid w:val="0021372E"/>
    <w:rsid w:val="0021653A"/>
    <w:rsid w:val="00220EBB"/>
    <w:rsid w:val="00222A8E"/>
    <w:rsid w:val="00245DB9"/>
    <w:rsid w:val="0025592D"/>
    <w:rsid w:val="00255F4C"/>
    <w:rsid w:val="002567BA"/>
    <w:rsid w:val="0027409C"/>
    <w:rsid w:val="002778BD"/>
    <w:rsid w:val="00291BD1"/>
    <w:rsid w:val="002972A2"/>
    <w:rsid w:val="002B0F9F"/>
    <w:rsid w:val="002C2FFE"/>
    <w:rsid w:val="002D35A6"/>
    <w:rsid w:val="002E0B4D"/>
    <w:rsid w:val="00313FAB"/>
    <w:rsid w:val="00333D66"/>
    <w:rsid w:val="00333E7A"/>
    <w:rsid w:val="003351B1"/>
    <w:rsid w:val="003430E9"/>
    <w:rsid w:val="003433D0"/>
    <w:rsid w:val="003731EF"/>
    <w:rsid w:val="00386953"/>
    <w:rsid w:val="0039357B"/>
    <w:rsid w:val="003A0C4F"/>
    <w:rsid w:val="003A4DAF"/>
    <w:rsid w:val="003B02A5"/>
    <w:rsid w:val="003B10F0"/>
    <w:rsid w:val="003B5CFB"/>
    <w:rsid w:val="003C5C38"/>
    <w:rsid w:val="003E2912"/>
    <w:rsid w:val="003F67DE"/>
    <w:rsid w:val="00406C84"/>
    <w:rsid w:val="00424745"/>
    <w:rsid w:val="00424A36"/>
    <w:rsid w:val="0042690B"/>
    <w:rsid w:val="00456845"/>
    <w:rsid w:val="00460474"/>
    <w:rsid w:val="0046329E"/>
    <w:rsid w:val="00465C71"/>
    <w:rsid w:val="00491543"/>
    <w:rsid w:val="004959F5"/>
    <w:rsid w:val="004A7855"/>
    <w:rsid w:val="004B70F2"/>
    <w:rsid w:val="004C46C1"/>
    <w:rsid w:val="004D1769"/>
    <w:rsid w:val="004D263D"/>
    <w:rsid w:val="004D72E1"/>
    <w:rsid w:val="004F20CC"/>
    <w:rsid w:val="004F4B85"/>
    <w:rsid w:val="005077AE"/>
    <w:rsid w:val="0051436E"/>
    <w:rsid w:val="005516B3"/>
    <w:rsid w:val="0055301B"/>
    <w:rsid w:val="0056219C"/>
    <w:rsid w:val="00573674"/>
    <w:rsid w:val="00577E88"/>
    <w:rsid w:val="00583B25"/>
    <w:rsid w:val="00590A11"/>
    <w:rsid w:val="005A1BB6"/>
    <w:rsid w:val="005B270A"/>
    <w:rsid w:val="005D704B"/>
    <w:rsid w:val="005E4240"/>
    <w:rsid w:val="00606A6C"/>
    <w:rsid w:val="00612145"/>
    <w:rsid w:val="00613E29"/>
    <w:rsid w:val="0061628E"/>
    <w:rsid w:val="006262E1"/>
    <w:rsid w:val="00632E53"/>
    <w:rsid w:val="00642569"/>
    <w:rsid w:val="00654930"/>
    <w:rsid w:val="00662228"/>
    <w:rsid w:val="00667E92"/>
    <w:rsid w:val="00672AE3"/>
    <w:rsid w:val="00692930"/>
    <w:rsid w:val="0069498B"/>
    <w:rsid w:val="006A7FAC"/>
    <w:rsid w:val="006D31A5"/>
    <w:rsid w:val="006E3C69"/>
    <w:rsid w:val="006E4069"/>
    <w:rsid w:val="007039C6"/>
    <w:rsid w:val="00726239"/>
    <w:rsid w:val="0074003E"/>
    <w:rsid w:val="007467CE"/>
    <w:rsid w:val="00756FA7"/>
    <w:rsid w:val="00764E4F"/>
    <w:rsid w:val="00765CE4"/>
    <w:rsid w:val="007739AF"/>
    <w:rsid w:val="00784B3F"/>
    <w:rsid w:val="00795FF0"/>
    <w:rsid w:val="007F26E7"/>
    <w:rsid w:val="00811FF9"/>
    <w:rsid w:val="00824505"/>
    <w:rsid w:val="00825227"/>
    <w:rsid w:val="008412FD"/>
    <w:rsid w:val="0084172C"/>
    <w:rsid w:val="00841B04"/>
    <w:rsid w:val="00846744"/>
    <w:rsid w:val="00871C14"/>
    <w:rsid w:val="0088016D"/>
    <w:rsid w:val="00890277"/>
    <w:rsid w:val="008A5E04"/>
    <w:rsid w:val="008A6325"/>
    <w:rsid w:val="008A6FE4"/>
    <w:rsid w:val="008B541D"/>
    <w:rsid w:val="008C7EE2"/>
    <w:rsid w:val="008D0276"/>
    <w:rsid w:val="008F6D9D"/>
    <w:rsid w:val="00901280"/>
    <w:rsid w:val="00913370"/>
    <w:rsid w:val="0092011A"/>
    <w:rsid w:val="009203D1"/>
    <w:rsid w:val="009513FB"/>
    <w:rsid w:val="00970B5C"/>
    <w:rsid w:val="00972FF8"/>
    <w:rsid w:val="009758EF"/>
    <w:rsid w:val="00991C46"/>
    <w:rsid w:val="009B1990"/>
    <w:rsid w:val="009B60FE"/>
    <w:rsid w:val="009D5809"/>
    <w:rsid w:val="009E0714"/>
    <w:rsid w:val="009F1752"/>
    <w:rsid w:val="009F563A"/>
    <w:rsid w:val="009F6E25"/>
    <w:rsid w:val="00A005EC"/>
    <w:rsid w:val="00A0492D"/>
    <w:rsid w:val="00A3313B"/>
    <w:rsid w:val="00A44F6B"/>
    <w:rsid w:val="00A467E3"/>
    <w:rsid w:val="00A546DC"/>
    <w:rsid w:val="00A55734"/>
    <w:rsid w:val="00A75DF5"/>
    <w:rsid w:val="00A80133"/>
    <w:rsid w:val="00A93030"/>
    <w:rsid w:val="00AA1894"/>
    <w:rsid w:val="00AA195D"/>
    <w:rsid w:val="00AA72CC"/>
    <w:rsid w:val="00AC1EB9"/>
    <w:rsid w:val="00AE0A61"/>
    <w:rsid w:val="00AE201C"/>
    <w:rsid w:val="00B03E98"/>
    <w:rsid w:val="00B061BF"/>
    <w:rsid w:val="00B07ECF"/>
    <w:rsid w:val="00B1079D"/>
    <w:rsid w:val="00B14AFF"/>
    <w:rsid w:val="00B20B9D"/>
    <w:rsid w:val="00B457B7"/>
    <w:rsid w:val="00B50AD0"/>
    <w:rsid w:val="00B60F6C"/>
    <w:rsid w:val="00B655CE"/>
    <w:rsid w:val="00B67BFF"/>
    <w:rsid w:val="00B70869"/>
    <w:rsid w:val="00B837DC"/>
    <w:rsid w:val="00B837E6"/>
    <w:rsid w:val="00B916BF"/>
    <w:rsid w:val="00B93BD2"/>
    <w:rsid w:val="00BA7984"/>
    <w:rsid w:val="00BB11EE"/>
    <w:rsid w:val="00BB3784"/>
    <w:rsid w:val="00BB3D01"/>
    <w:rsid w:val="00BB71DB"/>
    <w:rsid w:val="00BC654B"/>
    <w:rsid w:val="00BC67B4"/>
    <w:rsid w:val="00BD188C"/>
    <w:rsid w:val="00BD7B5F"/>
    <w:rsid w:val="00BF69F5"/>
    <w:rsid w:val="00C22013"/>
    <w:rsid w:val="00C24115"/>
    <w:rsid w:val="00C27AC6"/>
    <w:rsid w:val="00C3351F"/>
    <w:rsid w:val="00C47965"/>
    <w:rsid w:val="00C51EBE"/>
    <w:rsid w:val="00C53628"/>
    <w:rsid w:val="00C57425"/>
    <w:rsid w:val="00C96AD3"/>
    <w:rsid w:val="00CA548E"/>
    <w:rsid w:val="00CC32D0"/>
    <w:rsid w:val="00CD2AF1"/>
    <w:rsid w:val="00CD3A59"/>
    <w:rsid w:val="00CD7921"/>
    <w:rsid w:val="00CE56F7"/>
    <w:rsid w:val="00CE78E1"/>
    <w:rsid w:val="00D0194D"/>
    <w:rsid w:val="00D03681"/>
    <w:rsid w:val="00D307D0"/>
    <w:rsid w:val="00D31E68"/>
    <w:rsid w:val="00D4515D"/>
    <w:rsid w:val="00D579B1"/>
    <w:rsid w:val="00D63FB0"/>
    <w:rsid w:val="00D94A81"/>
    <w:rsid w:val="00D976E8"/>
    <w:rsid w:val="00DA5F25"/>
    <w:rsid w:val="00DC148E"/>
    <w:rsid w:val="00DD410C"/>
    <w:rsid w:val="00DE333F"/>
    <w:rsid w:val="00DE51C7"/>
    <w:rsid w:val="00DE5924"/>
    <w:rsid w:val="00DF1A37"/>
    <w:rsid w:val="00DF6346"/>
    <w:rsid w:val="00E02AD5"/>
    <w:rsid w:val="00E120FA"/>
    <w:rsid w:val="00E14EE2"/>
    <w:rsid w:val="00E40650"/>
    <w:rsid w:val="00EC1290"/>
    <w:rsid w:val="00EC3803"/>
    <w:rsid w:val="00ED3E27"/>
    <w:rsid w:val="00F053E5"/>
    <w:rsid w:val="00F0793A"/>
    <w:rsid w:val="00F22FD4"/>
    <w:rsid w:val="00F47016"/>
    <w:rsid w:val="00F47D01"/>
    <w:rsid w:val="00F76EC9"/>
    <w:rsid w:val="00F8331D"/>
    <w:rsid w:val="00F84CBB"/>
    <w:rsid w:val="00FC343D"/>
    <w:rsid w:val="00FF4A12"/>
    <w:rsid w:val="05642768"/>
    <w:rsid w:val="0638144B"/>
    <w:rsid w:val="07150819"/>
    <w:rsid w:val="077E37D3"/>
    <w:rsid w:val="0BD634A9"/>
    <w:rsid w:val="0C5C0AA8"/>
    <w:rsid w:val="0D036552"/>
    <w:rsid w:val="0E1C7631"/>
    <w:rsid w:val="0F087FB5"/>
    <w:rsid w:val="13E02727"/>
    <w:rsid w:val="16145B4F"/>
    <w:rsid w:val="18B85A24"/>
    <w:rsid w:val="1C7D4848"/>
    <w:rsid w:val="210A1A3E"/>
    <w:rsid w:val="251C42EF"/>
    <w:rsid w:val="29C3613A"/>
    <w:rsid w:val="2A32624C"/>
    <w:rsid w:val="2A4B4651"/>
    <w:rsid w:val="2A4F4861"/>
    <w:rsid w:val="2DDB3BB6"/>
    <w:rsid w:val="315F620C"/>
    <w:rsid w:val="31765E32"/>
    <w:rsid w:val="34CA6229"/>
    <w:rsid w:val="35F7608B"/>
    <w:rsid w:val="360960D8"/>
    <w:rsid w:val="36AB1CEE"/>
    <w:rsid w:val="39F83928"/>
    <w:rsid w:val="3A2E6828"/>
    <w:rsid w:val="3D51281E"/>
    <w:rsid w:val="3DE449F9"/>
    <w:rsid w:val="3E815BDB"/>
    <w:rsid w:val="3EC10E32"/>
    <w:rsid w:val="4007741B"/>
    <w:rsid w:val="4444147C"/>
    <w:rsid w:val="468034B7"/>
    <w:rsid w:val="48B02852"/>
    <w:rsid w:val="4AB71922"/>
    <w:rsid w:val="4BC111A7"/>
    <w:rsid w:val="4C2D6F06"/>
    <w:rsid w:val="4FA17831"/>
    <w:rsid w:val="50932042"/>
    <w:rsid w:val="51C3183A"/>
    <w:rsid w:val="522804D5"/>
    <w:rsid w:val="540D2C74"/>
    <w:rsid w:val="54A808F4"/>
    <w:rsid w:val="55047989"/>
    <w:rsid w:val="55637EA0"/>
    <w:rsid w:val="567E15A5"/>
    <w:rsid w:val="590528B8"/>
    <w:rsid w:val="5A0173E7"/>
    <w:rsid w:val="5AF538D1"/>
    <w:rsid w:val="5AF958C9"/>
    <w:rsid w:val="5B9C18E1"/>
    <w:rsid w:val="5D26506A"/>
    <w:rsid w:val="5F1152BD"/>
    <w:rsid w:val="61DB5099"/>
    <w:rsid w:val="63D208A9"/>
    <w:rsid w:val="63F13BC4"/>
    <w:rsid w:val="64693149"/>
    <w:rsid w:val="674835DE"/>
    <w:rsid w:val="6CDD2FDE"/>
    <w:rsid w:val="728E7B40"/>
    <w:rsid w:val="74857CEC"/>
    <w:rsid w:val="74AB718F"/>
    <w:rsid w:val="77041353"/>
    <w:rsid w:val="77AD0431"/>
    <w:rsid w:val="7E3E3145"/>
    <w:rsid w:val="7EEC2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Body Text Indent"/>
    <w:basedOn w:val="1"/>
    <w:unhideWhenUsed/>
    <w:qFormat/>
    <w:uiPriority w:val="99"/>
    <w:pPr>
      <w:ind w:firstLine="640" w:firstLineChars="2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15">
    <w:name w:val=" Char1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9</Pages>
  <Words>4551</Words>
  <Characters>4718</Characters>
  <Lines>19</Lines>
  <Paragraphs>5</Paragraphs>
  <TotalTime>13</TotalTime>
  <ScaleCrop>false</ScaleCrop>
  <LinksUpToDate>false</LinksUpToDate>
  <CharactersWithSpaces>4721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2017-02-13T08:55:00Z</dcterms:created>
  <dc:creator>微软中国</dc:creator>
  <cp:lastModifiedBy>WPS_1654836395</cp:lastModifiedBy>
  <cp:lastPrinted>2024-11-25T09:00:00Z</cp:lastPrinted>
  <dcterms:modified xsi:type="dcterms:W3CDTF">2025-03-27T03:44:35Z</dcterms:modified>
  <dc:title>关于进一步做好察苏镇当前维护社会稳定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CDBA2A54E15248C88AD905933CED53FC_13</vt:lpwstr>
  </property>
  <property fmtid="{D5CDD505-2E9C-101B-9397-08002B2CF9AE}" pid="4" name="KSOTemplateDocerSaveRecord">
    <vt:lpwstr>eyJoZGlkIjoiOGM5ODA5NmYxNzA5YTMyZjJiMjliMzgzMTliNjY2YjMiLCJ1c2VySWQiOiIxMzgzMzM0NzM1In0=</vt:lpwstr>
  </property>
</Properties>
</file>