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68628">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西宁市</w:t>
      </w:r>
      <w:r>
        <w:rPr>
          <w:rFonts w:hint="eastAsia" w:ascii="方正小标宋简体" w:hAnsi="方正小标宋简体" w:eastAsia="方正小标宋简体" w:cs="方正小标宋简体"/>
          <w:bCs/>
          <w:sz w:val="44"/>
          <w:szCs w:val="44"/>
          <w:lang w:eastAsia="zh-CN"/>
        </w:rPr>
        <w:t>湟中区</w:t>
      </w:r>
      <w:r>
        <w:rPr>
          <w:rFonts w:hint="eastAsia" w:ascii="方正小标宋简体" w:hAnsi="方正小标宋简体" w:eastAsia="方正小标宋简体" w:cs="方正小标宋简体"/>
          <w:bCs/>
          <w:sz w:val="44"/>
          <w:szCs w:val="44"/>
        </w:rPr>
        <w:t>应急管理局</w:t>
      </w:r>
    </w:p>
    <w:p w14:paraId="53428F48">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jc w:val="center"/>
        <w:textAlignment w:val="auto"/>
        <w:outlineLvl w:val="9"/>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关于2025年法治政府建设情况报告</w:t>
      </w:r>
    </w:p>
    <w:p w14:paraId="73311B0D">
      <w:pPr>
        <w:keepNext w:val="0"/>
        <w:keepLines w:val="0"/>
        <w:pageBreakBefore w:val="0"/>
        <w:widowControl w:val="0"/>
        <w:kinsoku/>
        <w:wordWrap/>
        <w:overflowPunct/>
        <w:topLinePunct w:val="0"/>
        <w:autoSpaceDE/>
        <w:autoSpaceDN/>
        <w:bidi w:val="0"/>
        <w:adjustRightInd/>
        <w:snapToGrid w:val="0"/>
        <w:spacing w:line="576"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14:paraId="03214A1B">
      <w:pPr>
        <w:keepNext w:val="0"/>
        <w:keepLines w:val="0"/>
        <w:pageBreakBefore w:val="0"/>
        <w:widowControl w:val="0"/>
        <w:kinsoku/>
        <w:wordWrap/>
        <w:overflowPunct/>
        <w:topLinePunct w:val="0"/>
        <w:autoSpaceDE/>
        <w:autoSpaceDN/>
        <w:bidi w:val="0"/>
        <w:adjustRightInd/>
        <w:snapToGrid w:val="0"/>
        <w:spacing w:line="576" w:lineRule="exact"/>
        <w:ind w:right="0" w:rightChars="0" w:firstLine="640" w:firstLineChars="200"/>
        <w:jc w:val="both"/>
        <w:textAlignment w:val="auto"/>
        <w:outlineLvl w:val="9"/>
        <w:rPr>
          <w:rFonts w:hint="eastAsia" w:ascii="黑体" w:hAnsi="黑体" w:eastAsia="黑体" w:cs="黑体"/>
          <w:b/>
          <w:kern w:val="2"/>
          <w:sz w:val="32"/>
          <w:szCs w:val="32"/>
          <w:lang w:val="en-US" w:eastAsia="zh-CN" w:bidi="ar-SA"/>
        </w:rPr>
      </w:pPr>
      <w:r>
        <w:rPr>
          <w:rFonts w:hint="eastAsia" w:ascii="仿宋_GB2312" w:hAnsi="仿宋_GB2312" w:eastAsia="仿宋_GB2312" w:cs="仿宋_GB2312"/>
          <w:kern w:val="0"/>
          <w:sz w:val="32"/>
          <w:szCs w:val="32"/>
          <w:lang w:val="en-US" w:eastAsia="zh-CN" w:bidi="ar"/>
        </w:rPr>
        <w:t>2025年，在区委、区政府坚强领导下，我局坚持以习近平新时代中国特色社会主义思想为指导，全面贯彻党的二十大及二十届历次全会精神，深入学习践行习近平法治思想和习近平总书记关于应急管理工作的重要指示批示精神，将法治政府建设与应急管理主责主业深度融合，以依法治安为核心，扎实推进法治体系完善、执法规范提升、法治意识强化等重点工作，为防范化解重大安全风险、保障人民群众生命财产安全筑牢法治屏障。现将全年工作情况报告如下：</w:t>
      </w:r>
    </w:p>
    <w:p w14:paraId="65049A85">
      <w:pPr>
        <w:keepNext w:val="0"/>
        <w:keepLines w:val="0"/>
        <w:pageBreakBefore w:val="0"/>
        <w:widowControl w:val="0"/>
        <w:kinsoku/>
        <w:wordWrap/>
        <w:overflowPunct/>
        <w:topLinePunct w:val="0"/>
        <w:autoSpaceDE/>
        <w:autoSpaceDN/>
        <w:bidi w:val="0"/>
        <w:adjustRightInd/>
        <w:snapToGrid w:val="0"/>
        <w:spacing w:line="576" w:lineRule="exact"/>
        <w:ind w:right="0" w:rightChars="0" w:firstLine="643" w:firstLineChars="200"/>
        <w:jc w:val="both"/>
        <w:textAlignment w:val="auto"/>
        <w:outlineLvl w:val="9"/>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一、推进法治政府建设的主要措施和成效</w:t>
      </w:r>
    </w:p>
    <w:p w14:paraId="543ACFC2">
      <w:pPr>
        <w:keepNext w:val="0"/>
        <w:keepLines w:val="0"/>
        <w:pageBreakBefore w:val="0"/>
        <w:widowControl w:val="0"/>
        <w:kinsoku/>
        <w:wordWrap/>
        <w:overflowPunct/>
        <w:topLinePunct w:val="0"/>
        <w:autoSpaceDE/>
        <w:autoSpaceDN/>
        <w:bidi w:val="0"/>
        <w:adjustRightInd/>
        <w:snapToGrid w:val="0"/>
        <w:spacing w:line="576" w:lineRule="exact"/>
        <w:ind w:right="0" w:rightChars="0" w:firstLine="640" w:firstLineChars="200"/>
        <w:jc w:val="both"/>
        <w:textAlignment w:val="auto"/>
        <w:outlineLvl w:val="9"/>
        <w:rPr>
          <w:rFonts w:hint="eastAsia"/>
          <w:lang w:eastAsia="zh-CN"/>
        </w:rPr>
      </w:pPr>
      <w:r>
        <w:rPr>
          <w:rFonts w:hint="eastAsia" w:ascii="楷体_GB2312" w:hAnsi="楷体_GB2312" w:eastAsia="楷体_GB2312" w:cs="楷体_GB2312"/>
          <w:b w:val="0"/>
          <w:bCs w:val="0"/>
          <w:sz w:val="32"/>
          <w:szCs w:val="32"/>
          <w:lang w:val="en-US" w:eastAsia="zh-CN"/>
        </w:rPr>
        <w:t> </w:t>
      </w:r>
      <w:r>
        <w:rPr>
          <w:rFonts w:hint="eastAsia" w:ascii="楷体_GB2312" w:hAnsi="楷体_GB2312" w:eastAsia="楷体_GB2312" w:cs="楷体_GB2312"/>
          <w:b w:val="0"/>
          <w:bCs w:val="0"/>
          <w:snapToGrid w:val="0"/>
          <w:kern w:val="0"/>
          <w:sz w:val="32"/>
          <w:szCs w:val="32"/>
          <w:lang w:val="en-US" w:eastAsia="zh-CN"/>
        </w:rPr>
        <w:t>（一）坚持以习近平法治思想统领应急管理法治建设工作。</w:t>
      </w:r>
      <w:r>
        <w:rPr>
          <w:rFonts w:hint="eastAsia" w:ascii="仿宋_GB2312" w:hAnsi="仿宋_GB2312" w:eastAsia="仿宋_GB2312" w:cs="仿宋_GB2312"/>
          <w:kern w:val="0"/>
          <w:sz w:val="32"/>
          <w:szCs w:val="32"/>
          <w:lang w:val="en-US" w:eastAsia="zh-CN" w:bidi="ar"/>
        </w:rPr>
        <w:t>局领导班子成员，尤其是局党委主要负责人带动全局干部人员认真研读习近平新时代社会主义法治思想、习近平著作选读、《中华人民共和国安全生产法》《中华人民共和国行政处罚法》等著作思想、法律法规,推动领会其基本精神的基础,切实增强了贯彻执行的思想自觉和行动自觉。广泛深入宣传法治政府建设的主要内容和精神实质,带动全局学法守法用法,为推动应急法治建设营造了浓厚氛围。2025年以来,局主要负责人严格履行依法行政重要组织者、推动者和实践者的职责,充分发挥了统揽全局、协调各方的作用,督促领导班子其他成员和各科室负责人及全体执法人员依法办事。真正做到了带头学法、模范用法。局领导班子带头深入贯彻落实习近平总书记提出的“领导干部要做尊法学法守法用法的模范”讲话精神，严格践行法治政府建设要求，提高了广大领导干部职工依法行政工作和法治化工作水平,统筹推进了依法执政、依法行政、严格执法工作。局党委把法治建设纳入了本单位年度工作计划，及时研究解决有关重大问题，真正把法治建设工作落到了实处。</w:t>
      </w:r>
    </w:p>
    <w:p w14:paraId="0070F1C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val="0"/>
          <w:bCs w:val="0"/>
          <w:snapToGrid w:val="0"/>
          <w:kern w:val="0"/>
          <w:sz w:val="32"/>
          <w:szCs w:val="32"/>
          <w:lang w:val="en-US" w:eastAsia="zh-CN"/>
        </w:rPr>
        <w:t>（二）加强执法培训，提升执法水平。</w:t>
      </w:r>
      <w:r>
        <w:rPr>
          <w:rFonts w:hint="eastAsia" w:ascii="仿宋_GB2312" w:hAnsi="仿宋_GB2312" w:eastAsia="仿宋_GB2312" w:cs="仿宋_GB2312"/>
          <w:snapToGrid w:val="0"/>
          <w:kern w:val="0"/>
          <w:sz w:val="32"/>
          <w:szCs w:val="32"/>
        </w:rPr>
        <w:t>为切实提升</w:t>
      </w:r>
      <w:r>
        <w:rPr>
          <w:rFonts w:hint="eastAsia" w:ascii="仿宋_GB2312" w:hAnsi="仿宋_GB2312" w:eastAsia="仿宋_GB2312" w:cs="仿宋_GB2312"/>
          <w:snapToGrid w:val="0"/>
          <w:kern w:val="0"/>
          <w:sz w:val="32"/>
          <w:szCs w:val="32"/>
          <w:lang w:val="en-US" w:eastAsia="zh-CN"/>
        </w:rPr>
        <w:t>我局</w:t>
      </w:r>
      <w:r>
        <w:rPr>
          <w:rFonts w:hint="eastAsia" w:ascii="仿宋_GB2312" w:hAnsi="仿宋_GB2312" w:eastAsia="仿宋_GB2312" w:cs="仿宋_GB2312"/>
          <w:snapToGrid w:val="0"/>
          <w:kern w:val="0"/>
          <w:sz w:val="32"/>
          <w:szCs w:val="32"/>
        </w:rPr>
        <w:t>行政执法队伍</w:t>
      </w:r>
      <w:r>
        <w:rPr>
          <w:rFonts w:hint="eastAsia" w:ascii="仿宋_GB2312" w:hAnsi="仿宋_GB2312" w:eastAsia="仿宋_GB2312" w:cs="仿宋_GB2312"/>
          <w:snapToGrid w:val="0"/>
          <w:kern w:val="0"/>
          <w:sz w:val="32"/>
          <w:szCs w:val="32"/>
          <w:lang w:eastAsia="zh-CN"/>
        </w:rPr>
        <w:t>工作能力</w:t>
      </w:r>
      <w:r>
        <w:rPr>
          <w:rFonts w:hint="eastAsia" w:ascii="仿宋_GB2312" w:hAnsi="仿宋_GB2312" w:eastAsia="仿宋_GB2312" w:cs="仿宋_GB2312"/>
          <w:snapToGrid w:val="0"/>
          <w:kern w:val="0"/>
          <w:sz w:val="32"/>
          <w:szCs w:val="32"/>
        </w:rPr>
        <w:t>，我</w:t>
      </w:r>
      <w:r>
        <w:rPr>
          <w:rFonts w:hint="eastAsia" w:ascii="仿宋_GB2312" w:hAnsi="仿宋_GB2312" w:eastAsia="仿宋_GB2312" w:cs="仿宋_GB2312"/>
          <w:snapToGrid w:val="0"/>
          <w:kern w:val="0"/>
          <w:sz w:val="32"/>
          <w:szCs w:val="32"/>
          <w:lang w:eastAsia="zh-CN"/>
        </w:rPr>
        <w:t>局</w:t>
      </w:r>
      <w:r>
        <w:rPr>
          <w:rFonts w:hint="eastAsia" w:ascii="仿宋_GB2312" w:hAnsi="仿宋_GB2312" w:eastAsia="仿宋_GB2312" w:cs="仿宋_GB2312"/>
          <w:snapToGrid w:val="0"/>
          <w:kern w:val="0"/>
          <w:sz w:val="32"/>
          <w:szCs w:val="32"/>
          <w:lang w:val="en-US" w:eastAsia="zh-CN"/>
        </w:rPr>
        <w:t>工作人员</w:t>
      </w:r>
      <w:r>
        <w:rPr>
          <w:rFonts w:hint="eastAsia" w:ascii="仿宋_GB2312" w:hAnsi="仿宋_GB2312" w:eastAsia="仿宋_GB2312" w:cs="仿宋_GB2312"/>
          <w:snapToGrid w:val="0"/>
          <w:kern w:val="0"/>
          <w:sz w:val="32"/>
          <w:szCs w:val="32"/>
        </w:rPr>
        <w:t>积极</w:t>
      </w:r>
      <w:r>
        <w:rPr>
          <w:rFonts w:hint="eastAsia" w:ascii="仿宋_GB2312" w:hAnsi="仿宋_GB2312" w:eastAsia="仿宋_GB2312" w:cs="仿宋_GB2312"/>
          <w:snapToGrid w:val="0"/>
          <w:kern w:val="0"/>
          <w:sz w:val="32"/>
          <w:szCs w:val="32"/>
          <w:lang w:val="en-US" w:eastAsia="zh-CN"/>
        </w:rPr>
        <w:t>组织参加每周一</w:t>
      </w:r>
      <w:r>
        <w:rPr>
          <w:rFonts w:hint="eastAsia" w:ascii="仿宋_GB2312" w:hAnsi="仿宋_GB2312" w:eastAsia="仿宋_GB2312" w:cs="仿宋_GB2312"/>
          <w:snapToGrid w:val="0"/>
          <w:kern w:val="0"/>
          <w:sz w:val="32"/>
          <w:szCs w:val="32"/>
        </w:rPr>
        <w:t>全体</w:t>
      </w:r>
      <w:r>
        <w:rPr>
          <w:rFonts w:hint="eastAsia" w:ascii="仿宋_GB2312" w:hAnsi="仿宋_GB2312" w:eastAsia="仿宋_GB2312" w:cs="仿宋_GB2312"/>
          <w:snapToGrid w:val="0"/>
          <w:kern w:val="0"/>
          <w:sz w:val="32"/>
          <w:szCs w:val="32"/>
          <w:lang w:val="en-US" w:eastAsia="zh-CN"/>
        </w:rPr>
        <w:t>学习例会</w:t>
      </w:r>
      <w:r>
        <w:rPr>
          <w:rFonts w:hint="eastAsia" w:ascii="仿宋_GB2312" w:hAnsi="仿宋_GB2312" w:eastAsia="仿宋_GB2312" w:cs="仿宋_GB2312"/>
          <w:snapToGrid w:val="0"/>
          <w:kern w:val="0"/>
          <w:sz w:val="32"/>
          <w:szCs w:val="32"/>
        </w:rPr>
        <w:t>与培训，</w:t>
      </w:r>
      <w:r>
        <w:rPr>
          <w:rFonts w:hint="eastAsia" w:ascii="仿宋_GB2312" w:hAnsi="仿宋_GB2312" w:eastAsia="仿宋_GB2312" w:cs="仿宋_GB2312"/>
          <w:snapToGrid w:val="0"/>
          <w:kern w:val="0"/>
          <w:sz w:val="32"/>
          <w:szCs w:val="32"/>
          <w:lang w:val="en-US" w:eastAsia="zh-CN"/>
        </w:rPr>
        <w:t>同时</w:t>
      </w:r>
      <w:r>
        <w:rPr>
          <w:rFonts w:hint="eastAsia" w:ascii="仿宋_GB2312" w:hAnsi="仿宋_GB2312" w:eastAsia="仿宋_GB2312" w:cs="仿宋_GB2312"/>
          <w:snapToGrid w:val="0"/>
          <w:kern w:val="0"/>
          <w:sz w:val="32"/>
          <w:szCs w:val="32"/>
          <w:lang w:eastAsia="zh-CN"/>
        </w:rPr>
        <w:t>将《中华人民共和国安全生产法》《</w:t>
      </w:r>
      <w:r>
        <w:rPr>
          <w:rFonts w:hint="eastAsia" w:ascii="仿宋_GB2312" w:hAnsi="仿宋_GB2312" w:eastAsia="仿宋_GB2312" w:cs="仿宋_GB2312"/>
          <w:snapToGrid w:val="0"/>
          <w:kern w:val="0"/>
          <w:sz w:val="32"/>
          <w:szCs w:val="32"/>
          <w:lang w:val="en-US" w:eastAsia="zh-CN"/>
        </w:rPr>
        <w:t>安全生产违法行为行政处罚办法</w:t>
      </w:r>
      <w:r>
        <w:rPr>
          <w:rFonts w:hint="eastAsia" w:ascii="仿宋_GB2312" w:hAnsi="仿宋_GB2312" w:eastAsia="仿宋_GB2312" w:cs="仿宋_GB2312"/>
          <w:snapToGrid w:val="0"/>
          <w:kern w:val="0"/>
          <w:sz w:val="32"/>
          <w:szCs w:val="32"/>
          <w:lang w:eastAsia="zh-CN"/>
        </w:rPr>
        <w:t>》《生产安全事故报告和调查处理条例》《中华人民共和国行政复议法》等</w:t>
      </w:r>
      <w:r>
        <w:rPr>
          <w:rFonts w:hint="eastAsia" w:ascii="仿宋_GB2312" w:hAnsi="仿宋_GB2312" w:eastAsia="仿宋_GB2312" w:cs="仿宋_GB2312"/>
          <w:snapToGrid w:val="0"/>
          <w:kern w:val="0"/>
          <w:sz w:val="32"/>
          <w:szCs w:val="32"/>
        </w:rPr>
        <w:t>法律法规</w:t>
      </w:r>
      <w:r>
        <w:rPr>
          <w:rFonts w:hint="eastAsia" w:ascii="仿宋_GB2312" w:hAnsi="仿宋_GB2312" w:eastAsia="仿宋_GB2312" w:cs="仿宋_GB2312"/>
          <w:snapToGrid w:val="0"/>
          <w:kern w:val="0"/>
          <w:sz w:val="32"/>
          <w:szCs w:val="32"/>
          <w:lang w:eastAsia="zh-CN"/>
        </w:rPr>
        <w:t>作为学习重点，从企业现场出发、从真实案件出发，认真学习理论知识，并多次组织全局集体培训学习，</w:t>
      </w:r>
      <w:r>
        <w:rPr>
          <w:rFonts w:hint="eastAsia" w:ascii="仿宋_GB2312" w:hAnsi="仿宋_GB2312" w:eastAsia="仿宋_GB2312" w:cs="仿宋_GB2312"/>
          <w:snapToGrid w:val="0"/>
          <w:kern w:val="0"/>
          <w:sz w:val="32"/>
          <w:szCs w:val="32"/>
        </w:rPr>
        <w:t>不断增强</w:t>
      </w:r>
      <w:r>
        <w:rPr>
          <w:rFonts w:hint="eastAsia" w:ascii="仿宋_GB2312" w:hAnsi="仿宋_GB2312" w:eastAsia="仿宋_GB2312" w:cs="仿宋_GB2312"/>
          <w:snapToGrid w:val="0"/>
          <w:kern w:val="0"/>
          <w:sz w:val="32"/>
          <w:szCs w:val="32"/>
          <w:lang w:eastAsia="zh-CN"/>
        </w:rPr>
        <w:t>了</w:t>
      </w:r>
      <w:r>
        <w:rPr>
          <w:rFonts w:hint="eastAsia" w:ascii="仿宋_GB2312" w:hAnsi="仿宋_GB2312" w:eastAsia="仿宋_GB2312" w:cs="仿宋_GB2312"/>
          <w:snapToGrid w:val="0"/>
          <w:kern w:val="0"/>
          <w:sz w:val="32"/>
          <w:szCs w:val="32"/>
        </w:rPr>
        <w:t>行政执法人员</w:t>
      </w:r>
      <w:r>
        <w:rPr>
          <w:rFonts w:hint="eastAsia" w:ascii="仿宋_GB2312" w:hAnsi="仿宋_GB2312" w:eastAsia="仿宋_GB2312" w:cs="仿宋_GB2312"/>
          <w:snapToGrid w:val="0"/>
          <w:kern w:val="0"/>
          <w:sz w:val="32"/>
          <w:szCs w:val="32"/>
          <w:lang w:eastAsia="zh-CN"/>
        </w:rPr>
        <w:t>排查安全隐患和违法事项的专业能力，</w:t>
      </w:r>
      <w:r>
        <w:rPr>
          <w:rFonts w:hint="eastAsia" w:ascii="仿宋_GB2312" w:hAnsi="仿宋_GB2312" w:eastAsia="仿宋_GB2312" w:cs="仿宋_GB2312"/>
          <w:snapToGrid w:val="0"/>
          <w:kern w:val="0"/>
          <w:sz w:val="32"/>
          <w:szCs w:val="32"/>
          <w:lang w:val="en-US" w:eastAsia="zh-CN"/>
        </w:rPr>
        <w:t>同时，创新 “专家帮带” 机制，邀请危化品管理、有限空间作业等领域专家开展 “一对一” 业务指导 67 次，重点提升复杂场景执法、隐患精准识别等专业能力，执法人员排查安全隐患和违法事项的准确率较上年有所提升 。</w:t>
      </w:r>
    </w:p>
    <w:p w14:paraId="320EE51E">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napToGrid w:val="0"/>
          <w:kern w:val="0"/>
          <w:sz w:val="32"/>
          <w:szCs w:val="32"/>
          <w:lang w:val="en-US" w:eastAsia="zh-CN"/>
        </w:rPr>
        <w:t>（三）严格规范公正文明执法，提升执法公信力。</w:t>
      </w:r>
      <w:r>
        <w:rPr>
          <w:rFonts w:hint="eastAsia" w:ascii="仿宋_GB2312" w:hAnsi="仿宋_GB2312" w:eastAsia="仿宋_GB2312" w:cs="仿宋_GB2312"/>
          <w:sz w:val="32"/>
          <w:szCs w:val="32"/>
        </w:rPr>
        <w:t>全面推行行政执法三项制度（行政执法公示制度、执法全过程记录制度、重大执法决定法制审核制度），严格规范执法程序。制定并</w:t>
      </w:r>
      <w:r>
        <w:rPr>
          <w:rFonts w:hint="eastAsia" w:ascii="仿宋_GB2312" w:hAnsi="仿宋_GB2312" w:eastAsia="仿宋_GB2312" w:cs="仿宋_GB2312"/>
          <w:sz w:val="32"/>
          <w:szCs w:val="32"/>
          <w:lang w:val="en-US" w:eastAsia="zh-CN"/>
        </w:rPr>
        <w:t>严格执行</w:t>
      </w:r>
      <w:r>
        <w:rPr>
          <w:rFonts w:hint="eastAsia" w:ascii="仿宋_GB2312" w:hAnsi="仿宋_GB2312" w:eastAsia="仿宋_GB2312" w:cs="仿宋_GB2312"/>
          <w:sz w:val="32"/>
          <w:szCs w:val="32"/>
        </w:rPr>
        <w:t>《湟中区应急管理局2025年度监督检查计划》，</w:t>
      </w:r>
      <w:r>
        <w:rPr>
          <w:rFonts w:hint="eastAsia" w:ascii="仿宋_GB2312" w:hAnsi="仿宋_GB2312" w:eastAsia="仿宋_GB2312" w:cs="仿宋_GB2312"/>
          <w:sz w:val="32"/>
          <w:szCs w:val="32"/>
          <w:lang w:val="en-US" w:eastAsia="zh-CN"/>
        </w:rPr>
        <w:t>依托 “互联网 + 执法” 系统实现 100% 线上执法，执法流程可追溯、可监督。健全行政裁量权基准制度，有效解决执法标准不统一、类案不同罚等问题。严格落实重大执法决定法制审核制度，审核通过率 100%，确保执法行为合法合规、程序严谨。</w:t>
      </w:r>
    </w:p>
    <w:p w14:paraId="0181398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kern w:val="0"/>
          <w:sz w:val="32"/>
          <w:szCs w:val="32"/>
          <w:lang w:val="en-US" w:eastAsia="zh-CN"/>
        </w:rPr>
      </w:pPr>
      <w:r>
        <w:rPr>
          <w:rFonts w:hint="eastAsia" w:ascii="楷体_GB2312" w:hAnsi="楷体_GB2312" w:eastAsia="楷体_GB2312" w:cs="楷体_GB2312"/>
          <w:b w:val="0"/>
          <w:bCs w:val="0"/>
          <w:snapToGrid w:val="0"/>
          <w:kern w:val="0"/>
          <w:sz w:val="32"/>
          <w:szCs w:val="32"/>
          <w:lang w:val="en-US" w:eastAsia="zh-CN"/>
        </w:rPr>
        <w:t>（四）优化政务服务供给，提升群众获得感。</w:t>
      </w:r>
      <w:r>
        <w:rPr>
          <w:rFonts w:hint="eastAsia" w:ascii="仿宋_GB2312" w:hAnsi="仿宋_GB2312" w:eastAsia="仿宋_GB2312" w:cs="仿宋_GB2312"/>
          <w:kern w:val="0"/>
          <w:sz w:val="32"/>
          <w:szCs w:val="32"/>
          <w:lang w:val="en-US" w:eastAsia="zh-CN" w:bidi="ar"/>
        </w:rPr>
        <w:t>针对《危险化学品经营许可证》以及《烟花爆竹安全许可证》等许可证办理，开展政务服务领域“三减”“最多跑一次”行动。对我局现有的政务服务事项论证压缩事项环节和周期，清理各类“奇葩证明”，“循环证明”，依法规范办事要素材料，最大限度地减少办件材料和办事流程。</w:t>
      </w:r>
    </w:p>
    <w:p w14:paraId="1DE4D000">
      <w:pPr>
        <w:keepNext w:val="0"/>
        <w:keepLines w:val="0"/>
        <w:widowControl/>
        <w:suppressLineNumbers w:val="0"/>
        <w:ind w:firstLine="640" w:firstLineChars="200"/>
        <w:jc w:val="left"/>
        <w:rPr>
          <w:rFonts w:hint="eastAsia" w:ascii="楷体_GB2312" w:hAnsi="楷体_GB2312" w:eastAsia="楷体_GB2312" w:cs="楷体_GB2312"/>
          <w:b w:val="0"/>
          <w:bCs w:val="0"/>
          <w:snapToGrid w:val="0"/>
          <w:kern w:val="0"/>
          <w:sz w:val="32"/>
          <w:szCs w:val="32"/>
          <w:lang w:val="en-US" w:eastAsia="zh-CN"/>
        </w:rPr>
      </w:pPr>
      <w:r>
        <w:rPr>
          <w:rFonts w:hint="eastAsia" w:ascii="楷体_GB2312" w:hAnsi="楷体_GB2312" w:eastAsia="楷体_GB2312" w:cs="楷体_GB2312"/>
          <w:b w:val="0"/>
          <w:bCs w:val="0"/>
          <w:snapToGrid w:val="0"/>
          <w:kern w:val="0"/>
          <w:sz w:val="32"/>
          <w:szCs w:val="32"/>
          <w:lang w:val="en-US" w:eastAsia="zh-CN"/>
        </w:rPr>
        <w:t>（五）深化执法监督检查，筑牢安全防线。</w:t>
      </w:r>
      <w:r>
        <w:rPr>
          <w:rFonts w:hint="eastAsia" w:ascii="仿宋_GB2312" w:hAnsi="仿宋_GB2312" w:eastAsia="仿宋_GB2312" w:cs="仿宋_GB2312"/>
          <w:kern w:val="0"/>
          <w:sz w:val="32"/>
          <w:szCs w:val="32"/>
          <w:lang w:val="en-US" w:eastAsia="zh-CN" w:bidi="ar"/>
        </w:rPr>
        <w:t>坚持“全覆盖排查+重点领域整治”并行，聚焦有限空间、粉尘涉爆等高危领域，完成2轮全域专项整治。主动融入市场监管领域“双随机、一公开”联合执法机制，推行“一次检查、综合会诊”模式，最大限度减少对企业正常生产经营的干扰。</w:t>
      </w:r>
    </w:p>
    <w:p w14:paraId="1930E57C">
      <w:pPr>
        <w:keepNext w:val="0"/>
        <w:keepLines w:val="0"/>
        <w:widowControl/>
        <w:numPr>
          <w:ilvl w:val="0"/>
          <w:numId w:val="1"/>
        </w:numPr>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napToGrid w:val="0"/>
          <w:kern w:val="0"/>
          <w:sz w:val="32"/>
          <w:szCs w:val="32"/>
          <w:lang w:val="en-US" w:eastAsia="zh-CN"/>
        </w:rPr>
        <w:t>规范案件办理流程，强化执法震慑效能。</w:t>
      </w:r>
      <w:r>
        <w:rPr>
          <w:rFonts w:hint="eastAsia" w:ascii="仿宋_GB2312" w:hAnsi="仿宋_GB2312" w:eastAsia="仿宋_GB2312" w:cs="仿宋_GB2312"/>
          <w:kern w:val="0"/>
          <w:sz w:val="32"/>
          <w:szCs w:val="32"/>
          <w:lang w:val="en-US" w:eastAsia="zh-CN" w:bidi="ar"/>
        </w:rPr>
        <w:t>秉持“处罚与教育相结合”原则，通过组织“双随机、一公开”联合检查、召开集中警示约谈会等举措，引导企业自觉扛起安全生产主体责任。畅通举报投诉渠道，依法依规参与生产安全责任事故调查处理，推动事故教训转化为整改实效，切实筑牢安全生产底线。</w:t>
      </w:r>
    </w:p>
    <w:p w14:paraId="7FB5D4E9">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napToGrid w:val="0"/>
          <w:kern w:val="0"/>
          <w:sz w:val="32"/>
          <w:szCs w:val="32"/>
          <w:lang w:val="en-US" w:eastAsia="zh-CN" w:bidi="ar-SA"/>
        </w:rPr>
        <w:t>（七）做好复议应诉工作，化解行政争议。</w:t>
      </w:r>
      <w:r>
        <w:rPr>
          <w:rFonts w:hint="eastAsia" w:ascii="仿宋_GB2312" w:hAnsi="仿宋_GB2312" w:eastAsia="仿宋_GB2312" w:cs="仿宋_GB2312"/>
          <w:b w:val="0"/>
          <w:bCs/>
          <w:color w:val="000000"/>
          <w:kern w:val="2"/>
          <w:sz w:val="32"/>
          <w:szCs w:val="21"/>
          <w:u w:val="none"/>
          <w:lang w:val="en-US" w:eastAsia="zh-CN" w:bidi="ar-SA"/>
        </w:rPr>
        <w:t>建立健全行政机关负责人出庭应诉工作机制，明确出庭应诉职责分工和工作流程，出庭应诉率 100%。规范行政复议答复流程，均依法依规作出复议决定，有效化解行政争议，维护行政相对人合法权益。</w:t>
      </w:r>
    </w:p>
    <w:p w14:paraId="3B975D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eastAsia" w:ascii="仿宋_GB2312" w:hAnsi="仿宋_GB2312" w:eastAsia="仿宋_GB2312" w:cs="仿宋_GB2312"/>
          <w:b w:val="0"/>
          <w:bCs/>
          <w:color w:val="000000"/>
          <w:kern w:val="2"/>
          <w:sz w:val="32"/>
          <w:szCs w:val="21"/>
          <w:u w:val="none"/>
          <w:lang w:val="en-US" w:eastAsia="zh-CN" w:bidi="ar-SA"/>
        </w:rPr>
      </w:pPr>
      <w:r>
        <w:rPr>
          <w:rFonts w:hint="eastAsia" w:ascii="楷体_GB2312" w:hAnsi="楷体_GB2312" w:eastAsia="楷体_GB2312" w:cs="楷体_GB2312"/>
          <w:b w:val="0"/>
          <w:bCs w:val="0"/>
          <w:snapToGrid w:val="0"/>
          <w:kern w:val="0"/>
          <w:sz w:val="32"/>
          <w:szCs w:val="32"/>
          <w:lang w:val="en-US" w:eastAsia="zh-CN" w:bidi="ar-SA"/>
        </w:rPr>
        <w:t>（八）强化案卷评查监督，提升办案质量。</w:t>
      </w:r>
      <w:r>
        <w:rPr>
          <w:rFonts w:hint="eastAsia" w:ascii="仿宋_GB2312" w:hAnsi="仿宋_GB2312" w:eastAsia="仿宋_GB2312" w:cs="仿宋_GB2312"/>
          <w:b w:val="0"/>
          <w:bCs/>
          <w:color w:val="000000"/>
          <w:kern w:val="2"/>
          <w:sz w:val="32"/>
          <w:szCs w:val="21"/>
          <w:u w:val="none"/>
          <w:lang w:val="en-US" w:eastAsia="zh-CN" w:bidi="ar-SA"/>
        </w:rPr>
        <w:t>为进一步规范行政执法行为，提高行政执法案件办理质量和水平，坚决做到行政执法案卷零失误。我局对2025年已办结的所有行政处罚案卷进行自查自纠、互查互评、集中评查，对标对表查找处罚案卷中存在的问题和不足，及时更正，做到法律依据准确、文书填写规范、程序正当、处罚裁量适当，进一步提高行政执法办案水平。</w:t>
      </w:r>
    </w:p>
    <w:p w14:paraId="6B4A84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eastAsia" w:ascii="仿宋_GB2312" w:hAnsi="仿宋_GB2312" w:eastAsia="仿宋_GB2312" w:cs="仿宋_GB2312"/>
          <w:b w:val="0"/>
          <w:bCs/>
          <w:color w:val="000000"/>
          <w:kern w:val="2"/>
          <w:sz w:val="32"/>
          <w:szCs w:val="21"/>
          <w:u w:val="none"/>
          <w:lang w:val="en-US" w:eastAsia="zh-CN" w:bidi="ar-SA"/>
        </w:rPr>
      </w:pPr>
      <w:r>
        <w:rPr>
          <w:rFonts w:hint="eastAsia" w:ascii="楷体_GB2312" w:hAnsi="楷体_GB2312" w:eastAsia="楷体_GB2312" w:cs="楷体_GB2312"/>
          <w:b w:val="0"/>
          <w:bCs w:val="0"/>
          <w:snapToGrid w:val="0"/>
          <w:kern w:val="0"/>
          <w:sz w:val="32"/>
          <w:szCs w:val="32"/>
          <w:lang w:val="en-US" w:eastAsia="zh-CN" w:bidi="ar-SA"/>
        </w:rPr>
        <w:t>（九）实现依法应急管理常态化。</w:t>
      </w:r>
      <w:r>
        <w:rPr>
          <w:rFonts w:hint="eastAsia" w:ascii="仿宋_GB2312" w:hAnsi="仿宋_GB2312" w:eastAsia="仿宋_GB2312" w:cs="仿宋_GB2312"/>
          <w:b w:val="0"/>
          <w:bCs/>
          <w:color w:val="000000"/>
          <w:kern w:val="2"/>
          <w:sz w:val="32"/>
          <w:szCs w:val="21"/>
          <w:u w:val="none"/>
          <w:lang w:val="en-US" w:eastAsia="zh-CN" w:bidi="ar-SA"/>
        </w:rPr>
        <w:t>为全面提升突发事件应对能力，我区对《西宁市湟中区突发事件总体应急预案》进行了系统修订，进一步增强了预案的科学性、实用性和可操作性。在应急力量建设方面，目前已组建覆盖全区的32支防汛抢险队伍，共计1553人，并与蓝天救援队、闪电救援队等多支社会专业救援力量签订了战略合作协议，初步构建起专常兼备、联动协同的应急救援体系。同时，坚持演练与宣传并重，统筹开展防汛实战演练和防灾知识普及活动，截至目前已组织演练14场、举办各类宣传活动30余场，累计覆盖干部群众超过2万人次。此外，还专门组织各乡镇（街道）及减灾委各成员单位分管负责同志开展了两期“应急能力提升大讲堂”，有力促进了基层风险防范意识和自救互救能力的整体提升。</w:t>
      </w:r>
    </w:p>
    <w:p w14:paraId="0525FCC5">
      <w:pPr>
        <w:keepNext w:val="0"/>
        <w:keepLines w:val="0"/>
        <w:widowControl/>
        <w:suppressLineNumbers w:val="0"/>
        <w:ind w:firstLine="640" w:firstLineChars="200"/>
        <w:jc w:val="left"/>
      </w:pPr>
      <w:r>
        <w:rPr>
          <w:rFonts w:hint="default" w:ascii="楷体_GB2312" w:hAnsi="楷体_GB2312" w:eastAsia="楷体_GB2312" w:cs="楷体_GB2312"/>
          <w:b w:val="0"/>
          <w:bCs w:val="0"/>
          <w:snapToGrid w:val="0"/>
          <w:kern w:val="0"/>
          <w:sz w:val="32"/>
          <w:szCs w:val="32"/>
          <w:lang w:val="en-US" w:eastAsia="zh-CN" w:bidi="ar-SA"/>
        </w:rPr>
        <w:t>（</w:t>
      </w:r>
      <w:r>
        <w:rPr>
          <w:rFonts w:hint="eastAsia" w:ascii="楷体_GB2312" w:hAnsi="楷体_GB2312" w:eastAsia="楷体_GB2312" w:cs="楷体_GB2312"/>
          <w:b w:val="0"/>
          <w:bCs w:val="0"/>
          <w:snapToGrid w:val="0"/>
          <w:kern w:val="0"/>
          <w:sz w:val="32"/>
          <w:szCs w:val="32"/>
          <w:lang w:val="en-US" w:eastAsia="zh-CN" w:bidi="ar-SA"/>
        </w:rPr>
        <w:t>十</w:t>
      </w:r>
      <w:r>
        <w:rPr>
          <w:rFonts w:hint="default" w:ascii="楷体_GB2312" w:hAnsi="楷体_GB2312" w:eastAsia="楷体_GB2312" w:cs="楷体_GB2312"/>
          <w:b w:val="0"/>
          <w:bCs w:val="0"/>
          <w:snapToGrid w:val="0"/>
          <w:kern w:val="0"/>
          <w:sz w:val="32"/>
          <w:szCs w:val="32"/>
          <w:lang w:val="en-US" w:eastAsia="zh-CN" w:bidi="ar-SA"/>
        </w:rPr>
        <w:t>）创新普法宣传模式，营造法治氛围。</w:t>
      </w:r>
      <w:r>
        <w:rPr>
          <w:rFonts w:hint="eastAsia" w:ascii="仿宋_GB2312" w:hAnsi="仿宋_GB2312" w:eastAsia="仿宋_GB2312" w:cs="仿宋_GB2312"/>
          <w:sz w:val="32"/>
          <w:szCs w:val="32"/>
          <w:lang w:val="en-US" w:eastAsia="zh-CN"/>
        </w:rPr>
        <w:t>制定《西宁市湟中区应急管理局2</w:t>
      </w:r>
      <w:r>
        <w:rPr>
          <w:rFonts w:hint="eastAsia" w:ascii="仿宋_GB2312" w:hAnsi="仿宋_GB2312" w:eastAsia="仿宋_GB2312" w:cs="仿宋_GB2312"/>
          <w:snapToGrid w:val="0"/>
          <w:kern w:val="0"/>
          <w:sz w:val="32"/>
          <w:szCs w:val="32"/>
          <w:lang w:val="en-US" w:eastAsia="zh-CN" w:bidi="ar-SA"/>
        </w:rPr>
        <w:t>025年普法工作计划》，严格落实 “谁执法谁普法”“谁服务谁普法”“谁管理谁普法”责任制。依托“5.12”防灾减灾日、安全生产月、民法典宣传周等重要时间节点</w:t>
      </w:r>
      <w:r>
        <w:rPr>
          <w:rFonts w:hint="default" w:ascii="仿宋_GB2312" w:hAnsi="仿宋_GB2312" w:eastAsia="仿宋_GB2312" w:cs="仿宋_GB2312"/>
          <w:snapToGrid w:val="0"/>
          <w:kern w:val="0"/>
          <w:sz w:val="32"/>
          <w:szCs w:val="32"/>
          <w:lang w:val="en-US" w:eastAsia="zh-CN" w:bidi="ar-SA"/>
        </w:rPr>
        <w:t>，开展集中普法宣传活动 ，发放宣传资料</w:t>
      </w:r>
      <w:r>
        <w:rPr>
          <w:rFonts w:hint="eastAsia" w:ascii="仿宋_GB2312" w:hAnsi="仿宋_GB2312" w:eastAsia="仿宋_GB2312" w:cs="仿宋_GB2312"/>
          <w:snapToGrid w:val="0"/>
          <w:kern w:val="0"/>
          <w:sz w:val="32"/>
          <w:szCs w:val="32"/>
          <w:lang w:val="en-US" w:eastAsia="zh-CN" w:bidi="ar-SA"/>
        </w:rPr>
        <w:t>。创新 “以案释法” 模式，深入企业开展法治宣讲 48 家次，通过 “理论授课 + 案例研讨 + 现场答疑” 方式，讲解隐患危害、法规依据及整改要点，</w:t>
      </w:r>
      <w:r>
        <w:rPr>
          <w:rFonts w:hint="default" w:ascii="仿宋_GB2312" w:hAnsi="仿宋_GB2312" w:eastAsia="仿宋_GB2312" w:cs="仿宋_GB2312"/>
          <w:snapToGrid w:val="0"/>
          <w:kern w:val="0"/>
          <w:sz w:val="32"/>
          <w:szCs w:val="32"/>
          <w:lang w:val="en-US" w:eastAsia="zh-CN" w:bidi="ar-SA"/>
        </w:rPr>
        <w:t>加强与企业面对面沟通交流，</w:t>
      </w:r>
      <w:r>
        <w:rPr>
          <w:rFonts w:hint="eastAsia" w:ascii="仿宋_GB2312" w:hAnsi="仿宋_GB2312" w:eastAsia="仿宋_GB2312" w:cs="仿宋_GB2312"/>
          <w:snapToGrid w:val="0"/>
          <w:kern w:val="0"/>
          <w:sz w:val="32"/>
          <w:szCs w:val="32"/>
          <w:lang w:val="en-US" w:eastAsia="zh-CN" w:bidi="ar-SA"/>
        </w:rPr>
        <w:t>增强</w:t>
      </w:r>
      <w:r>
        <w:rPr>
          <w:rFonts w:hint="default" w:ascii="仿宋_GB2312" w:hAnsi="仿宋_GB2312" w:eastAsia="仿宋_GB2312" w:cs="仿宋_GB2312"/>
          <w:snapToGrid w:val="0"/>
          <w:kern w:val="0"/>
          <w:sz w:val="32"/>
          <w:szCs w:val="32"/>
          <w:lang w:val="en-US" w:eastAsia="zh-CN" w:bidi="ar-SA"/>
        </w:rPr>
        <w:t>企业尊法守法意识，实现执法与普法并重，整改与提升并行。</w:t>
      </w:r>
    </w:p>
    <w:p w14:paraId="76574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kern w:val="2"/>
          <w:sz w:val="32"/>
          <w:szCs w:val="32"/>
          <w:lang w:val="en-US" w:eastAsia="zh-CN" w:bidi="ar-SA"/>
        </w:rPr>
      </w:pPr>
      <w:r>
        <w:rPr>
          <w:rFonts w:hint="eastAsia" w:ascii="黑体" w:hAnsi="黑体" w:eastAsia="黑体" w:cs="黑体"/>
          <w:b/>
          <w:sz w:val="32"/>
          <w:szCs w:val="32"/>
          <w:lang w:val="en-US" w:eastAsia="zh-CN"/>
        </w:rPr>
        <w:t>二、</w:t>
      </w:r>
      <w:r>
        <w:rPr>
          <w:rFonts w:hint="eastAsia" w:ascii="黑体" w:hAnsi="黑体" w:eastAsia="黑体" w:cs="黑体"/>
          <w:b/>
          <w:kern w:val="2"/>
          <w:sz w:val="32"/>
          <w:szCs w:val="32"/>
          <w:lang w:val="en-US" w:eastAsia="zh-CN" w:bidi="ar-SA"/>
        </w:rPr>
        <w:t>党政主要负责人履行推进法治建设第一责任人职责加强法治政府建设的有关情况</w:t>
      </w:r>
    </w:p>
    <w:p w14:paraId="3C1493C4">
      <w:pPr>
        <w:keepNext w:val="0"/>
        <w:keepLines w:val="0"/>
        <w:widowControl/>
        <w:suppressLineNumbers w:val="0"/>
        <w:ind w:firstLine="640" w:firstLineChars="200"/>
        <w:jc w:val="left"/>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局党委书记、局长作为推进法治建设第一责任人，始终把法治政府建设扛在肩上、抓在手上，切实履行统筹协调、督促落实职责，推动法治建设各项工作落地见效。</w:t>
      </w:r>
    </w:p>
    <w:p w14:paraId="2885E828">
      <w:pPr>
        <w:keepNext w:val="0"/>
        <w:keepLines w:val="0"/>
        <w:widowControl/>
        <w:suppressLineNumbers w:val="0"/>
        <w:ind w:firstLine="640" w:firstLineChars="200"/>
        <w:jc w:val="left"/>
        <w:rPr>
          <w:rFonts w:hint="eastAsia" w:ascii="仿宋_GB2312" w:hAnsi="仿宋_GB2312" w:eastAsia="仿宋_GB2312" w:cs="仿宋_GB2312"/>
          <w:snapToGrid w:val="0"/>
          <w:kern w:val="0"/>
          <w:sz w:val="32"/>
          <w:szCs w:val="32"/>
          <w:lang w:val="en-US" w:eastAsia="zh-CN" w:bidi="ar-SA"/>
        </w:rPr>
      </w:pPr>
      <w:r>
        <w:rPr>
          <w:rFonts w:hint="eastAsia" w:ascii="楷体_GB2312" w:hAnsi="楷体_GB2312" w:eastAsia="楷体_GB2312" w:cs="楷体_GB2312"/>
          <w:b w:val="0"/>
          <w:bCs w:val="0"/>
          <w:snapToGrid w:val="0"/>
          <w:kern w:val="0"/>
          <w:sz w:val="32"/>
          <w:szCs w:val="32"/>
          <w:lang w:val="en-US" w:eastAsia="zh-CN" w:bidi="ar-SA"/>
        </w:rPr>
        <w:t>（一）统筹谋划法治建设全局。</w:t>
      </w:r>
      <w:r>
        <w:rPr>
          <w:rFonts w:hint="eastAsia" w:ascii="仿宋_GB2312" w:hAnsi="仿宋_GB2312" w:eastAsia="仿宋_GB2312" w:cs="仿宋_GB2312"/>
          <w:snapToGrid w:val="0"/>
          <w:kern w:val="0"/>
          <w:sz w:val="32"/>
          <w:szCs w:val="32"/>
          <w:lang w:val="en-US" w:eastAsia="zh-CN" w:bidi="ar-SA"/>
        </w:rPr>
        <w:t>坚持用法治思维和法治方式统领应急管理各项工作，将法治建设纳入局党委重要议事日程，主持召开党委会议专题研究法治政府建设工作，及时解决执法规范化、普法宣传、队伍建设等方面的重大问题。严格执行重大行政决策法定程序，建立重大决策合法性审查机制，确保决策合法合规。组织制定执法监督检查计划、行政执法三项制度实施方案等文件，将法治建设工作任务分解到分管领导、责任科室和具体责任人，形成 “一把手” 负总责、分管领导具体抓、各科室协同抓的工作格局。</w:t>
      </w:r>
    </w:p>
    <w:p w14:paraId="60F88193">
      <w:pPr>
        <w:keepNext w:val="0"/>
        <w:keepLines w:val="0"/>
        <w:widowControl/>
        <w:suppressLineNumbers w:val="0"/>
        <w:ind w:firstLine="640" w:firstLineChars="200"/>
        <w:jc w:val="left"/>
        <w:rPr>
          <w:rFonts w:hint="eastAsia" w:ascii="仿宋_GB2312" w:hAnsi="仿宋_GB2312" w:eastAsia="仿宋_GB2312" w:cs="仿宋_GB2312"/>
          <w:snapToGrid w:val="0"/>
          <w:kern w:val="0"/>
          <w:sz w:val="32"/>
          <w:szCs w:val="32"/>
          <w:lang w:val="en-US" w:eastAsia="zh-CN" w:bidi="ar-SA"/>
        </w:rPr>
      </w:pPr>
      <w:r>
        <w:rPr>
          <w:rFonts w:hint="eastAsia" w:ascii="楷体_GB2312" w:hAnsi="楷体_GB2312" w:eastAsia="楷体_GB2312" w:cs="楷体_GB2312"/>
          <w:b w:val="0"/>
          <w:bCs w:val="0"/>
          <w:snapToGrid w:val="0"/>
          <w:kern w:val="0"/>
          <w:sz w:val="32"/>
          <w:szCs w:val="32"/>
          <w:lang w:val="en-US" w:eastAsia="zh-CN" w:bidi="ar-SA"/>
        </w:rPr>
        <w:t>（二）督促落实法治建设责任。</w:t>
      </w:r>
      <w:r>
        <w:rPr>
          <w:rFonts w:hint="eastAsia" w:ascii="仿宋_GB2312" w:hAnsi="仿宋_GB2312" w:eastAsia="仿宋_GB2312" w:cs="仿宋_GB2312"/>
          <w:snapToGrid w:val="0"/>
          <w:kern w:val="0"/>
          <w:sz w:val="32"/>
          <w:szCs w:val="32"/>
          <w:lang w:val="en-US" w:eastAsia="zh-CN" w:bidi="ar-SA"/>
        </w:rPr>
        <w:t>督促领导班子其他成员落实 “一岗双责”，将法治建设与分管业务工作紧密结合，定期听取分管科室法治工作进展情况汇报，及时发现并纠正执法不公、选择性执法、随意性执法等问题。牵头开展行政执法突出问题专项整治，聚焦运动式执法、简单粗暴执法等群众反映强烈的问题，梳理形成问题清单，建立整改台账，确保整改到位。深入贯彻 “八五” 普法规划，推动将普法工作融入监管执法、政务服务和事故调查处理全过程，带头参加 “安全生产月”“5・12” 防灾减灾日等普法宣传活动。</w:t>
      </w:r>
    </w:p>
    <w:p w14:paraId="0E79D456">
      <w:pPr>
        <w:keepNext w:val="0"/>
        <w:keepLines w:val="0"/>
        <w:widowControl/>
        <w:suppressLineNumbers w:val="0"/>
        <w:ind w:firstLine="640" w:firstLineChars="200"/>
        <w:jc w:val="left"/>
        <w:rPr>
          <w:rFonts w:hint="eastAsia" w:ascii="黑体" w:hAnsi="黑体" w:eastAsia="黑体" w:cs="黑体"/>
          <w:b/>
          <w:sz w:val="32"/>
          <w:szCs w:val="32"/>
          <w:lang w:val="en-US" w:eastAsia="zh-CN"/>
        </w:rPr>
      </w:pPr>
      <w:r>
        <w:rPr>
          <w:rFonts w:hint="eastAsia" w:ascii="楷体_GB2312" w:hAnsi="楷体_GB2312" w:eastAsia="楷体_GB2312" w:cs="楷体_GB2312"/>
          <w:b w:val="0"/>
          <w:bCs w:val="0"/>
          <w:snapToGrid w:val="0"/>
          <w:kern w:val="0"/>
          <w:sz w:val="32"/>
          <w:szCs w:val="32"/>
          <w:lang w:val="en-US" w:eastAsia="zh-CN" w:bidi="ar-SA"/>
        </w:rPr>
        <w:t>（三）带头尊法学法守法用法。</w:t>
      </w:r>
      <w:r>
        <w:rPr>
          <w:rFonts w:hint="eastAsia" w:ascii="仿宋_GB2312" w:hAnsi="仿宋_GB2312" w:eastAsia="仿宋_GB2312" w:cs="仿宋_GB2312"/>
          <w:snapToGrid w:val="0"/>
          <w:kern w:val="0"/>
          <w:sz w:val="32"/>
          <w:szCs w:val="32"/>
          <w:lang w:val="en-US" w:eastAsia="zh-CN" w:bidi="ar-SA"/>
        </w:rPr>
        <w:t>坚持把政治理论和法律知识学习作为必修课，参加党委理论学习中心组学法，专题学习《党政主要负责人履行推进法治建设第一责任人职责规定》《中华人民共和国安全生产法》等法律法规和党纪党规，不断提升自身法律素养和依法行政能力。在重大执法事项、行政复议应诉等工作中主动听取法律顾问意见，带头依法决策、依法办事。严格遵守廉洁自律各项规定，自觉接受党内监督、群众监督和舆论监督，始终做到尊崇法治、敬畏法律、遵纪守法，为全局干部职工作出表率。</w:t>
      </w:r>
    </w:p>
    <w:p w14:paraId="0A80D6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sz w:val="32"/>
          <w:szCs w:val="32"/>
          <w:lang w:val="en-US" w:eastAsia="zh-CN"/>
        </w:rPr>
        <w:t>三、</w:t>
      </w:r>
      <w:r>
        <w:rPr>
          <w:rFonts w:hint="eastAsia" w:ascii="黑体" w:hAnsi="黑体" w:eastAsia="黑体" w:cs="黑体"/>
          <w:b/>
          <w:kern w:val="2"/>
          <w:sz w:val="32"/>
          <w:szCs w:val="32"/>
          <w:lang w:val="en-US" w:eastAsia="zh-CN" w:bidi="ar-SA"/>
        </w:rPr>
        <w:t>法治政府建设存在不足和原因</w:t>
      </w:r>
    </w:p>
    <w:p w14:paraId="21E83A1C">
      <w:pPr>
        <w:keepNext w:val="0"/>
        <w:keepLines w:val="0"/>
        <w:pageBreakBefore w:val="0"/>
        <w:widowControl w:val="0"/>
        <w:kinsoku/>
        <w:wordWrap/>
        <w:overflowPunct/>
        <w:topLinePunct w:val="0"/>
        <w:autoSpaceDE/>
        <w:autoSpaceDN/>
        <w:bidi w:val="0"/>
        <w:adjustRightInd/>
        <w:snapToGrid w:val="0"/>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napToGrid w:val="0"/>
          <w:kern w:val="0"/>
          <w:sz w:val="32"/>
          <w:szCs w:val="32"/>
          <w:lang w:val="en-US" w:eastAsia="zh-CN" w:bidi="ar-SA"/>
        </w:rPr>
        <w:t>（一）法治建设系统性谋划有待加强。</w:t>
      </w:r>
      <w:r>
        <w:rPr>
          <w:rFonts w:hint="eastAsia" w:ascii="仿宋_GB2312" w:hAnsi="仿宋_GB2312" w:eastAsia="仿宋_GB2312" w:cs="仿宋_GB2312"/>
          <w:sz w:val="32"/>
          <w:szCs w:val="32"/>
          <w:lang w:val="en-US" w:eastAsia="zh-CN"/>
        </w:rPr>
        <w:t>将法治政府建设作为政府机关一项全局性、基础性工作的认识有待强化，推进法治政府建设的制度机制需要进一步健全完善，研究法治政府建设的工作力度有待加强。党员干部法治意识、法律素养以及依法行政能力与推进法治政府建设高质量发展的形势任务还不适应，自觉运用法治思维和法治方式深化改革、推动发展、化解矛盾、依法协调和处理各类问题的意识和能力仍需要进一步提升；</w:t>
      </w:r>
    </w:p>
    <w:p w14:paraId="0BB80835">
      <w:pPr>
        <w:keepNext w:val="0"/>
        <w:keepLines w:val="0"/>
        <w:pageBreakBefore w:val="0"/>
        <w:widowControl w:val="0"/>
        <w:kinsoku/>
        <w:wordWrap/>
        <w:overflowPunct/>
        <w:topLinePunct w:val="0"/>
        <w:autoSpaceDE/>
        <w:autoSpaceDN/>
        <w:bidi w:val="0"/>
        <w:adjustRightInd/>
        <w:snapToGrid w:val="0"/>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napToGrid w:val="0"/>
          <w:kern w:val="0"/>
          <w:sz w:val="32"/>
          <w:szCs w:val="32"/>
          <w:lang w:val="en-US" w:eastAsia="zh-CN" w:bidi="ar-SA"/>
        </w:rPr>
        <w:t>（二）普法宣传教育质效有待提升。</w:t>
      </w:r>
      <w:r>
        <w:rPr>
          <w:rFonts w:hint="eastAsia" w:ascii="仿宋_GB2312" w:hAnsi="仿宋_GB2312" w:eastAsia="仿宋_GB2312" w:cs="仿宋_GB2312"/>
          <w:sz w:val="32"/>
          <w:szCs w:val="32"/>
          <w:lang w:val="en-US" w:eastAsia="zh-CN"/>
        </w:rPr>
        <w:t>对于应急管理、安全生产及防灾减灾救灾等相关法律法规和安全知识的普及力度不足，普法宣传手段单一，对新媒体平台的运用不够充分，缺乏创新性；</w:t>
      </w:r>
    </w:p>
    <w:p w14:paraId="320E11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napToGrid w:val="0"/>
          <w:kern w:val="0"/>
          <w:sz w:val="32"/>
          <w:szCs w:val="32"/>
          <w:lang w:val="en-US" w:eastAsia="zh-CN" w:bidi="ar-SA"/>
        </w:rPr>
        <w:t>（三）执法队伍专业能力有待提升。</w:t>
      </w:r>
      <w:r>
        <w:rPr>
          <w:rFonts w:hint="eastAsia" w:ascii="仿宋_GB2312" w:hAnsi="仿宋_GB2312" w:eastAsia="仿宋_GB2312" w:cs="仿宋_GB2312"/>
          <w:sz w:val="32"/>
          <w:szCs w:val="32"/>
          <w:lang w:val="en-US" w:eastAsia="zh-CN"/>
        </w:rPr>
        <w:t>随着新兴行业、新业态不断涌现，有限空间作业、粉尘涉爆、新型危化品等专业执法事项日益增多，对执法人员的专业素养要求不断提高。目前全局法律专业背景人员占比较少，专业执法力量相对薄弱，部分执法人员在复杂场景执法、新型违法行为认定等方面的能力不足，与 “革命化、正规化、专业化、职业化” 执法队伍建设要求仍有差距。</w:t>
      </w:r>
    </w:p>
    <w:p w14:paraId="280A98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四、推进法治政府建设的下一步工作打算</w:t>
      </w:r>
    </w:p>
    <w:p w14:paraId="26FF71E8">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val="0"/>
          <w:bCs w:val="0"/>
          <w:snapToGrid w:val="0"/>
          <w:kern w:val="0"/>
          <w:sz w:val="32"/>
          <w:szCs w:val="32"/>
          <w:lang w:val="en-US" w:eastAsia="zh-CN" w:bidi="ar-SA"/>
        </w:rPr>
        <w:t>（一）深化法治思想引领，完善法治建设体系。</w:t>
      </w:r>
      <w:r>
        <w:rPr>
          <w:rFonts w:hint="eastAsia" w:ascii="仿宋_GB2312" w:hAnsi="仿宋_GB2312" w:eastAsia="仿宋_GB2312" w:cs="仿宋_GB2312"/>
          <w:sz w:val="32"/>
          <w:szCs w:val="32"/>
          <w:lang w:val="en-US" w:eastAsia="zh-CN"/>
        </w:rPr>
        <w:t>持续深入学习贯彻习近平法治思想和党的二十大精神，将法治建设纳入局党委重点工作部署，健全法治建设与业务工作同谋划、同推进、同考核的长效机制。完善法治建设考核评价体系，将法治学习、执法规范、普法宣传等工作纳入干部绩效考核，细化考核指标，强化结果运用，推动法治建设各项任务落到实处。</w:t>
      </w:r>
    </w:p>
    <w:p w14:paraId="30427B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640"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val="0"/>
          <w:bCs w:val="0"/>
          <w:snapToGrid w:val="0"/>
          <w:kern w:val="0"/>
          <w:sz w:val="32"/>
          <w:szCs w:val="32"/>
          <w:lang w:val="en-US" w:eastAsia="zh-CN" w:bidi="ar-SA"/>
        </w:rPr>
        <w:t>（二）规范执法行为流程，提升执法质量效能。</w:t>
      </w:r>
      <w:r>
        <w:rPr>
          <w:rFonts w:hint="eastAsia" w:ascii="仿宋_GB2312" w:hAnsi="仿宋_GB2312" w:eastAsia="仿宋_GB2312" w:cs="仿宋_GB2312"/>
          <w:kern w:val="2"/>
          <w:sz w:val="32"/>
          <w:szCs w:val="32"/>
          <w:lang w:val="en-US" w:eastAsia="zh-CN" w:bidi="ar-SA"/>
        </w:rPr>
        <w:t>持续深化行政执法三项制度落实，优化执法全过程记录方式，完善重大执法决定法制审核标准，推动执法规范化水平再提升。深入推进 “互联网 + 执法” 建设，拓展非现场执法应用场景，减少不必要的现场检查，降低对企业生产经营的影响。严格落实轻微违法行为不予处罚机制，细化不予处罚事项清单，推行 “处罚 + 说理 + 帮扶” 执法模式，引导企业主动合规经营，营造包容审慎的法治化营商环境。</w:t>
      </w:r>
    </w:p>
    <w:p w14:paraId="131DAF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snapToGrid w:val="0"/>
          <w:kern w:val="0"/>
          <w:sz w:val="32"/>
          <w:szCs w:val="32"/>
          <w:lang w:val="en-US" w:eastAsia="zh-CN" w:bidi="ar-SA"/>
        </w:rPr>
        <w:t>（三）创新普法宣传模式，增强全民法治素养。</w:t>
      </w:r>
      <w:r>
        <w:rPr>
          <w:rFonts w:hint="eastAsia" w:ascii="仿宋_GB2312" w:hAnsi="仿宋_GB2312" w:eastAsia="仿宋_GB2312" w:cs="仿宋_GB2312"/>
          <w:kern w:val="2"/>
          <w:sz w:val="32"/>
          <w:szCs w:val="32"/>
          <w:lang w:val="en-US" w:eastAsia="zh-CN" w:bidi="ar-SA"/>
        </w:rPr>
        <w:t>积极探索习近平法治思想学习新模式，将法治建设与应急管理业务工作相结合，常态化开展法治思想学习培训。同时拓宽宣传渠道，开展多样化、多角度法治宣传教育活动，营造尊法学法守法用法意识，推动建设新时代法治社会。</w:t>
      </w:r>
    </w:p>
    <w:p w14:paraId="38AFC6FB">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snapToGrid w:val="0"/>
          <w:kern w:val="0"/>
          <w:sz w:val="32"/>
          <w:szCs w:val="32"/>
          <w:lang w:val="en-US" w:eastAsia="zh-CN" w:bidi="ar-SA"/>
        </w:rPr>
        <w:t>（四）加强执法队伍建设，强化专业支撑保障。</w:t>
      </w:r>
      <w:r>
        <w:rPr>
          <w:rFonts w:hint="eastAsia" w:ascii="仿宋_GB2312" w:hAnsi="仿宋_GB2312" w:eastAsia="仿宋_GB2312" w:cs="仿宋_GB2312"/>
          <w:kern w:val="2"/>
          <w:sz w:val="32"/>
          <w:szCs w:val="32"/>
          <w:lang w:val="en-US" w:eastAsia="zh-CN" w:bidi="ar-SA"/>
        </w:rPr>
        <w:t>优化执法队伍结构，通过公开招录、在职培训等方式，增加法律专业和应急管理专业人才比例，提升法律专业背景执法人员占比。建立执法人员 “传帮带” 机制，选拔业务骨干与年轻执法人员结对帮扶，提升整体执法能力，打造一支高素质专业化执法队伍，为应急管理法治建设提供坚实人才保障。</w:t>
      </w:r>
    </w:p>
    <w:p w14:paraId="5CC8C5DF">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p>
    <w:p w14:paraId="00EBB5B2">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p>
    <w:p w14:paraId="712BB31F">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5F76E69D">
      <w:pPr>
        <w:keepNext w:val="0"/>
        <w:keepLines w:val="0"/>
        <w:pageBreakBefore w:val="0"/>
        <w:widowControl w:val="0"/>
        <w:kinsoku/>
        <w:wordWrap/>
        <w:overflowPunct/>
        <w:topLinePunct w:val="0"/>
        <w:autoSpaceDE/>
        <w:autoSpaceDN/>
        <w:bidi w:val="0"/>
        <w:spacing w:line="576" w:lineRule="exact"/>
        <w:ind w:left="0" w:leftChars="0" w:right="0" w:rightChars="0" w:firstLine="0" w:firstLineChars="0"/>
        <w:textAlignment w:val="auto"/>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p>
    <w:p w14:paraId="1162C27A">
      <w:pPr>
        <w:rPr>
          <w:rFonts w:hint="default"/>
          <w:b w:val="0"/>
          <w:bCs w:val="0"/>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06A5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A5E50">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0A5E50">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9A8A2"/>
    <w:multiLevelType w:val="singleLevel"/>
    <w:tmpl w:val="EEF9A8A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OTBmNmIwNjQ4YmUxZmQ1MWJkNDA1ZTFhMGYyMjAifQ=="/>
  </w:docVars>
  <w:rsids>
    <w:rsidRoot w:val="00000000"/>
    <w:rsid w:val="00135135"/>
    <w:rsid w:val="007F27CB"/>
    <w:rsid w:val="00AF5DD5"/>
    <w:rsid w:val="00F50CDF"/>
    <w:rsid w:val="017936BE"/>
    <w:rsid w:val="03541CED"/>
    <w:rsid w:val="041D6583"/>
    <w:rsid w:val="045B52FD"/>
    <w:rsid w:val="05143E2A"/>
    <w:rsid w:val="0557192D"/>
    <w:rsid w:val="06CC603E"/>
    <w:rsid w:val="075665AC"/>
    <w:rsid w:val="077566D6"/>
    <w:rsid w:val="07D94EB6"/>
    <w:rsid w:val="07E04497"/>
    <w:rsid w:val="081B727D"/>
    <w:rsid w:val="082064C0"/>
    <w:rsid w:val="085065D7"/>
    <w:rsid w:val="08BD20E2"/>
    <w:rsid w:val="091F4B4B"/>
    <w:rsid w:val="09886B94"/>
    <w:rsid w:val="099C6CFC"/>
    <w:rsid w:val="0A6676D3"/>
    <w:rsid w:val="0AA7409F"/>
    <w:rsid w:val="0ADD2F10"/>
    <w:rsid w:val="0AE24082"/>
    <w:rsid w:val="0AF838A6"/>
    <w:rsid w:val="0B587618"/>
    <w:rsid w:val="0BFA364D"/>
    <w:rsid w:val="0C676F35"/>
    <w:rsid w:val="0CCD4793"/>
    <w:rsid w:val="0CFB3821"/>
    <w:rsid w:val="0EA855E3"/>
    <w:rsid w:val="0F541172"/>
    <w:rsid w:val="0F8B2F3A"/>
    <w:rsid w:val="0FFC1742"/>
    <w:rsid w:val="101C6C62"/>
    <w:rsid w:val="11DA5AB3"/>
    <w:rsid w:val="125D0492"/>
    <w:rsid w:val="12B2699A"/>
    <w:rsid w:val="15804BC3"/>
    <w:rsid w:val="158A77F0"/>
    <w:rsid w:val="15D01A52"/>
    <w:rsid w:val="162B2D81"/>
    <w:rsid w:val="17233A58"/>
    <w:rsid w:val="17365C94"/>
    <w:rsid w:val="178F0998"/>
    <w:rsid w:val="17D30CB5"/>
    <w:rsid w:val="18ED04BB"/>
    <w:rsid w:val="19CD1D13"/>
    <w:rsid w:val="19E82D37"/>
    <w:rsid w:val="1C6C40F3"/>
    <w:rsid w:val="1DCC06CA"/>
    <w:rsid w:val="1E672DC4"/>
    <w:rsid w:val="1EA50B92"/>
    <w:rsid w:val="1EA731C1"/>
    <w:rsid w:val="1EBB0A1A"/>
    <w:rsid w:val="1ECB5101"/>
    <w:rsid w:val="1F394761"/>
    <w:rsid w:val="213C22E6"/>
    <w:rsid w:val="21465154"/>
    <w:rsid w:val="21701F90"/>
    <w:rsid w:val="235A4CA6"/>
    <w:rsid w:val="23F0560A"/>
    <w:rsid w:val="245416F5"/>
    <w:rsid w:val="24925A8A"/>
    <w:rsid w:val="255F2A47"/>
    <w:rsid w:val="25DD1DD0"/>
    <w:rsid w:val="27433128"/>
    <w:rsid w:val="27776584"/>
    <w:rsid w:val="27897907"/>
    <w:rsid w:val="284F7A62"/>
    <w:rsid w:val="297D4C7E"/>
    <w:rsid w:val="2AAD6003"/>
    <w:rsid w:val="2BB92785"/>
    <w:rsid w:val="2CB12B6A"/>
    <w:rsid w:val="2CC633AC"/>
    <w:rsid w:val="2CF73565"/>
    <w:rsid w:val="2D2D2C93"/>
    <w:rsid w:val="2DAD00C8"/>
    <w:rsid w:val="2E7110F5"/>
    <w:rsid w:val="2E982B26"/>
    <w:rsid w:val="2F41731B"/>
    <w:rsid w:val="2F7215C9"/>
    <w:rsid w:val="2FA31782"/>
    <w:rsid w:val="30503E51"/>
    <w:rsid w:val="32696CB3"/>
    <w:rsid w:val="32AA2E28"/>
    <w:rsid w:val="34036C94"/>
    <w:rsid w:val="345D45F6"/>
    <w:rsid w:val="34627E5E"/>
    <w:rsid w:val="34871673"/>
    <w:rsid w:val="356435EC"/>
    <w:rsid w:val="36B424C7"/>
    <w:rsid w:val="380D00E1"/>
    <w:rsid w:val="387719FE"/>
    <w:rsid w:val="38EC7CF6"/>
    <w:rsid w:val="3978683C"/>
    <w:rsid w:val="39D41C4B"/>
    <w:rsid w:val="3A181A2A"/>
    <w:rsid w:val="3A543DA5"/>
    <w:rsid w:val="3ABE56C2"/>
    <w:rsid w:val="3AE01ADD"/>
    <w:rsid w:val="3B3E6803"/>
    <w:rsid w:val="3BD95FB9"/>
    <w:rsid w:val="3BDC55AA"/>
    <w:rsid w:val="3C1D0C09"/>
    <w:rsid w:val="3E263CAA"/>
    <w:rsid w:val="3E391C30"/>
    <w:rsid w:val="3E3A59A8"/>
    <w:rsid w:val="3E845C87"/>
    <w:rsid w:val="3F26267A"/>
    <w:rsid w:val="3F980BD8"/>
    <w:rsid w:val="403C77B5"/>
    <w:rsid w:val="40420B44"/>
    <w:rsid w:val="41CC2DBB"/>
    <w:rsid w:val="42240501"/>
    <w:rsid w:val="42B15B0D"/>
    <w:rsid w:val="43BA4E67"/>
    <w:rsid w:val="4464552C"/>
    <w:rsid w:val="44913E48"/>
    <w:rsid w:val="44C22253"/>
    <w:rsid w:val="45A51959"/>
    <w:rsid w:val="461A0599"/>
    <w:rsid w:val="46252D32"/>
    <w:rsid w:val="46B1432D"/>
    <w:rsid w:val="46B207D1"/>
    <w:rsid w:val="46DB0D6D"/>
    <w:rsid w:val="46DD6713"/>
    <w:rsid w:val="472965B9"/>
    <w:rsid w:val="496833C9"/>
    <w:rsid w:val="49F7299F"/>
    <w:rsid w:val="4A5B6485"/>
    <w:rsid w:val="4AB64608"/>
    <w:rsid w:val="4ACC600C"/>
    <w:rsid w:val="4AF12638"/>
    <w:rsid w:val="4D3F08E5"/>
    <w:rsid w:val="4D810EFD"/>
    <w:rsid w:val="4E2F2707"/>
    <w:rsid w:val="4E4F6905"/>
    <w:rsid w:val="4FE6773D"/>
    <w:rsid w:val="50067498"/>
    <w:rsid w:val="508F539B"/>
    <w:rsid w:val="516E1798"/>
    <w:rsid w:val="51AE6039"/>
    <w:rsid w:val="51BF0246"/>
    <w:rsid w:val="525F10E1"/>
    <w:rsid w:val="531B76FE"/>
    <w:rsid w:val="533E39A8"/>
    <w:rsid w:val="537D3F15"/>
    <w:rsid w:val="543F741C"/>
    <w:rsid w:val="54834CF5"/>
    <w:rsid w:val="54B43111"/>
    <w:rsid w:val="551B39E5"/>
    <w:rsid w:val="552D3354"/>
    <w:rsid w:val="55306D65"/>
    <w:rsid w:val="56A26776"/>
    <w:rsid w:val="58313520"/>
    <w:rsid w:val="59213594"/>
    <w:rsid w:val="5A3B2434"/>
    <w:rsid w:val="5A6E2809"/>
    <w:rsid w:val="5A7B6CD4"/>
    <w:rsid w:val="5A9F3E73"/>
    <w:rsid w:val="5AD07020"/>
    <w:rsid w:val="5B150ED7"/>
    <w:rsid w:val="5B800A46"/>
    <w:rsid w:val="5BA504AD"/>
    <w:rsid w:val="5BFA7C85"/>
    <w:rsid w:val="5D1826BD"/>
    <w:rsid w:val="5D41611C"/>
    <w:rsid w:val="5E745F14"/>
    <w:rsid w:val="5E8B1BDC"/>
    <w:rsid w:val="5EB8323F"/>
    <w:rsid w:val="5F6441DB"/>
    <w:rsid w:val="60060190"/>
    <w:rsid w:val="60C05441"/>
    <w:rsid w:val="60F43D7B"/>
    <w:rsid w:val="6138147B"/>
    <w:rsid w:val="61442516"/>
    <w:rsid w:val="6151253D"/>
    <w:rsid w:val="617701F5"/>
    <w:rsid w:val="62E66043"/>
    <w:rsid w:val="634736C9"/>
    <w:rsid w:val="63E83D70"/>
    <w:rsid w:val="64542A70"/>
    <w:rsid w:val="649461DC"/>
    <w:rsid w:val="64B33C3A"/>
    <w:rsid w:val="6663343E"/>
    <w:rsid w:val="67553383"/>
    <w:rsid w:val="68FC5484"/>
    <w:rsid w:val="691A347C"/>
    <w:rsid w:val="692644EC"/>
    <w:rsid w:val="69643755"/>
    <w:rsid w:val="69E44896"/>
    <w:rsid w:val="69EC374B"/>
    <w:rsid w:val="6A1E3984"/>
    <w:rsid w:val="6A574FAB"/>
    <w:rsid w:val="6AB97AD1"/>
    <w:rsid w:val="6B013226"/>
    <w:rsid w:val="6FF43359"/>
    <w:rsid w:val="70934920"/>
    <w:rsid w:val="712A5284"/>
    <w:rsid w:val="71470049"/>
    <w:rsid w:val="71DE7B66"/>
    <w:rsid w:val="71ED1B26"/>
    <w:rsid w:val="7214383E"/>
    <w:rsid w:val="731C2C9E"/>
    <w:rsid w:val="735859AD"/>
    <w:rsid w:val="73DE76F1"/>
    <w:rsid w:val="74CA4688"/>
    <w:rsid w:val="75C30015"/>
    <w:rsid w:val="76124539"/>
    <w:rsid w:val="775D3592"/>
    <w:rsid w:val="77D870BC"/>
    <w:rsid w:val="78494D99"/>
    <w:rsid w:val="78CA10FB"/>
    <w:rsid w:val="7A5944E4"/>
    <w:rsid w:val="7AC8166A"/>
    <w:rsid w:val="7ACD6C80"/>
    <w:rsid w:val="7AF95CC7"/>
    <w:rsid w:val="7B136D89"/>
    <w:rsid w:val="7B2A40D3"/>
    <w:rsid w:val="7C3E3AFF"/>
    <w:rsid w:val="7C745605"/>
    <w:rsid w:val="7C7D57DB"/>
    <w:rsid w:val="7CC3658D"/>
    <w:rsid w:val="7D16490F"/>
    <w:rsid w:val="7DAC7021"/>
    <w:rsid w:val="7DB0632D"/>
    <w:rsid w:val="7DBF0B02"/>
    <w:rsid w:val="7DCE51E9"/>
    <w:rsid w:val="7F806F7F"/>
    <w:rsid w:val="7FEF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jc w:val="center"/>
    </w:pPr>
    <w:rPr>
      <w:rFonts w:eastAsia="黑体"/>
      <w:sz w:val="36"/>
    </w:rPr>
  </w:style>
  <w:style w:type="paragraph" w:styleId="3">
    <w:name w:val="Body Text Indent"/>
    <w:basedOn w:val="1"/>
    <w:next w:val="1"/>
    <w:qFormat/>
    <w:uiPriority w:val="0"/>
    <w:pPr>
      <w:ind w:firstLine="643" w:firstLineChars="200"/>
    </w:pPr>
    <w:rPr>
      <w:rFonts w:ascii="仿宋_GB2312" w:eastAsia="仿宋_GB2312"/>
      <w:b/>
      <w:bCs/>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17"/>
    <w:basedOn w:val="8"/>
    <w:qFormat/>
    <w:uiPriority w:val="0"/>
    <w:rPr>
      <w:rFonts w:hint="eastAsia" w:ascii="宋体" w:hAnsi="宋体" w:eastAsia="宋体"/>
      <w:sz w:val="32"/>
      <w:szCs w:val="32"/>
    </w:rPr>
  </w:style>
  <w:style w:type="character" w:customStyle="1" w:styleId="11">
    <w:name w:val="20"/>
    <w:basedOn w:val="8"/>
    <w:qFormat/>
    <w:uiPriority w:val="0"/>
    <w:rPr>
      <w:rFonts w:hint="eastAsia" w:ascii="宋体" w:hAnsi="宋体" w:eastAsia="宋体"/>
      <w:sz w:val="32"/>
      <w:szCs w:val="32"/>
    </w:rPr>
  </w:style>
  <w:style w:type="paragraph" w:customStyle="1" w:styleId="12">
    <w:name w:val="正文-公1"/>
    <w:basedOn w:val="1"/>
    <w:qFormat/>
    <w:uiPriority w:val="0"/>
    <w:pPr>
      <w:ind w:firstLine="200" w:firstLineChars="200"/>
    </w:pPr>
    <w:rPr>
      <w:rFonts w:ascii="Calibri" w:hAnsi="Calibri" w:eastAsia="宋体" w:cs="Calibri"/>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1743</Words>
  <Characters>1765</Characters>
  <Lines>0</Lines>
  <Paragraphs>0</Paragraphs>
  <TotalTime>1</TotalTime>
  <ScaleCrop>false</ScaleCrop>
  <LinksUpToDate>false</LinksUpToDate>
  <CharactersWithSpaces>1781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2023-06-28T07:24:00Z</dcterms:created>
  <dc:creator>lenovo</dc:creator>
  <cp:lastModifiedBy>心安</cp:lastModifiedBy>
  <cp:lastPrinted>2025-11-27T03:17:00Z</cp:lastPrinted>
  <dcterms:modified xsi:type="dcterms:W3CDTF">2026-03-19T03:52:14Z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EADEB33865194346BC962BECA9FE0B0D_13</vt:lpwstr>
  </property>
  <property fmtid="{D5CDD505-2E9C-101B-9397-08002B2CF9AE}" pid="4" name="KSOTemplateDocerSaveRecord">
    <vt:lpwstr>eyJoZGlkIjoiNTk1ZmVkMTdkZGI2OWQ1MmFkZDY3ZDE5OTQxZmMxODYiLCJ1c2VySWQiOiI3NzI1MjYxNTUifQ==</vt:lpwstr>
  </property>
</Properties>
</file>