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5C5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湟中区上五庄镇</w:t>
      </w:r>
    </w:p>
    <w:p w14:paraId="62BF26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2024年度法治政府建设情况报告</w:t>
      </w:r>
    </w:p>
    <w:p w14:paraId="564E132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pPr>
    </w:p>
    <w:p w14:paraId="180B59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2024</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，上五庄</w:t>
      </w:r>
      <w:r>
        <w:rPr>
          <w:rFonts w:hint="eastAsia" w:ascii="仿宋_GB2312" w:hAnsi="仿宋_GB2312" w:eastAsia="仿宋_GB2312" w:cs="仿宋_GB2312"/>
          <w:b w:val="0"/>
          <w:bCs w:val="0"/>
          <w:i w:val="0"/>
          <w:iCs w:val="0"/>
          <w:caps w:val="0"/>
          <w:color w:val="000000"/>
          <w:spacing w:val="0"/>
          <w:sz w:val="32"/>
          <w:szCs w:val="32"/>
          <w:shd w:val="clear" w:fill="FFFFFF"/>
        </w:rPr>
        <w:t>镇在区委、区政府的领导和支持下，</w:t>
      </w:r>
      <w:r>
        <w:rPr>
          <w:rFonts w:hint="eastAsia" w:ascii="仿宋_GB2312" w:hAnsi="仿宋_GB2312" w:eastAsia="仿宋_GB2312" w:cs="仿宋_GB2312"/>
          <w:sz w:val="32"/>
          <w:szCs w:val="32"/>
          <w:lang w:eastAsia="zh-CN"/>
        </w:rPr>
        <w:t>坚持以习近平法治思想为引领，</w:t>
      </w:r>
      <w:r>
        <w:rPr>
          <w:rFonts w:hint="eastAsia" w:ascii="仿宋_GB2312" w:hAnsi="仿宋_GB2312" w:eastAsia="仿宋_GB2312" w:cs="仿宋_GB2312"/>
          <w:sz w:val="32"/>
          <w:szCs w:val="32"/>
        </w:rPr>
        <w:t>深入贯彻全面依法治国战略部署，</w:t>
      </w:r>
      <w:r>
        <w:rPr>
          <w:rFonts w:hint="eastAsia" w:ascii="仿宋_GB2312" w:hAnsi="仿宋_GB2312" w:eastAsia="仿宋_GB2312" w:cs="仿宋_GB2312"/>
          <w:b w:val="0"/>
          <w:bCs w:val="0"/>
          <w:i w:val="0"/>
          <w:iCs w:val="0"/>
          <w:caps w:val="0"/>
          <w:color w:val="000000"/>
          <w:spacing w:val="0"/>
          <w:sz w:val="32"/>
          <w:szCs w:val="32"/>
          <w:shd w:val="clear" w:fill="FFFFFF"/>
        </w:rPr>
        <w:t>认真落实</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中央和省市区法治政府建设会议</w:t>
      </w:r>
      <w:r>
        <w:rPr>
          <w:rFonts w:hint="eastAsia" w:ascii="仿宋_GB2312" w:hAnsi="仿宋_GB2312" w:eastAsia="仿宋_GB2312" w:cs="仿宋_GB2312"/>
          <w:b w:val="0"/>
          <w:bCs w:val="0"/>
          <w:i w:val="0"/>
          <w:iCs w:val="0"/>
          <w:caps w:val="0"/>
          <w:color w:val="000000"/>
          <w:spacing w:val="0"/>
          <w:sz w:val="32"/>
          <w:szCs w:val="32"/>
          <w:shd w:val="clear" w:fill="FFFFFF"/>
        </w:rPr>
        <w:t>精神，</w:t>
      </w:r>
      <w:r>
        <w:rPr>
          <w:rFonts w:hint="eastAsia" w:ascii="仿宋_GB2312" w:hAnsi="仿宋_GB2312" w:eastAsia="仿宋_GB2312" w:cs="仿宋_GB2312"/>
          <w:sz w:val="32"/>
          <w:szCs w:val="32"/>
        </w:rPr>
        <w:t>全面推进法治政府、法治社会和法治乡村建设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着力营造“遇事找法，办事依法，解决问题靠法，化解矛盾依法”的干事创业新常态</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sz w:val="32"/>
          <w:szCs w:val="32"/>
          <w:lang w:eastAsia="zh-CN"/>
        </w:rPr>
        <w:t>有效推动</w:t>
      </w:r>
      <w:r>
        <w:rPr>
          <w:rFonts w:hint="eastAsia" w:ascii="仿宋_GB2312" w:hAnsi="仿宋_GB2312" w:eastAsia="仿宋_GB2312" w:cs="仿宋_GB2312"/>
          <w:sz w:val="32"/>
          <w:szCs w:val="32"/>
        </w:rPr>
        <w:t>法治建设</w:t>
      </w:r>
      <w:r>
        <w:rPr>
          <w:rFonts w:hint="eastAsia" w:ascii="仿宋_GB2312" w:hAnsi="仿宋_GB2312" w:eastAsia="仿宋_GB2312" w:cs="仿宋_GB2312"/>
          <w:sz w:val="32"/>
          <w:szCs w:val="32"/>
          <w:lang w:eastAsia="zh-CN"/>
        </w:rPr>
        <w:t>持续向好</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全镇</w:t>
      </w:r>
      <w:r>
        <w:rPr>
          <w:rFonts w:hint="eastAsia" w:ascii="仿宋_GB2312" w:hAnsi="仿宋_GB2312" w:eastAsia="仿宋_GB2312" w:cs="仿宋_GB2312"/>
          <w:sz w:val="32"/>
          <w:szCs w:val="32"/>
        </w:rPr>
        <w:t>经济社会发展提供了</w:t>
      </w:r>
      <w:r>
        <w:rPr>
          <w:rFonts w:hint="eastAsia" w:ascii="仿宋_GB2312" w:hAnsi="仿宋_GB2312" w:eastAsia="仿宋_GB2312" w:cs="仿宋_GB2312"/>
          <w:sz w:val="32"/>
          <w:szCs w:val="32"/>
          <w:lang w:val="en-US" w:eastAsia="zh-CN"/>
        </w:rPr>
        <w:t>有力的</w:t>
      </w:r>
      <w:r>
        <w:rPr>
          <w:rFonts w:hint="eastAsia" w:ascii="仿宋_GB2312" w:hAnsi="仿宋_GB2312" w:eastAsia="仿宋_GB2312" w:cs="仿宋_GB2312"/>
          <w:sz w:val="32"/>
          <w:szCs w:val="32"/>
        </w:rPr>
        <w:t>法治保障。</w:t>
      </w:r>
      <w:r>
        <w:rPr>
          <w:rFonts w:hint="eastAsia" w:ascii="仿宋_GB2312" w:hAnsi="仿宋_GB2312" w:eastAsia="仿宋_GB2312" w:cs="仿宋_GB2312"/>
          <w:b w:val="0"/>
          <w:bCs w:val="0"/>
          <w:i w:val="0"/>
          <w:iCs w:val="0"/>
          <w:caps w:val="0"/>
          <w:color w:val="000000"/>
          <w:spacing w:val="0"/>
          <w:sz w:val="32"/>
          <w:szCs w:val="32"/>
          <w:shd w:val="clear" w:fill="FFFFFF"/>
        </w:rPr>
        <w:t>现将我镇</w:t>
      </w:r>
      <w:r>
        <w:rPr>
          <w:rFonts w:hint="eastAsia" w:ascii="仿宋_GB2312" w:hAnsi="仿宋_GB2312" w:eastAsia="仿宋_GB2312" w:cs="仿宋_GB2312"/>
          <w:b w:val="0"/>
          <w:bCs w:val="0"/>
          <w:i w:val="0"/>
          <w:iCs w:val="0"/>
          <w:caps w:val="0"/>
          <w:color w:val="000000"/>
          <w:spacing w:val="0"/>
          <w:sz w:val="32"/>
          <w:szCs w:val="32"/>
          <w:shd w:val="clear" w:fill="FFFFFF"/>
          <w:lang w:eastAsia="zh-CN"/>
        </w:rPr>
        <w:t>2024</w:t>
      </w:r>
      <w:r>
        <w:rPr>
          <w:rFonts w:hint="eastAsia" w:ascii="仿宋_GB2312" w:hAnsi="仿宋_GB2312" w:eastAsia="仿宋_GB2312" w:cs="仿宋_GB2312"/>
          <w:b w:val="0"/>
          <w:bCs w:val="0"/>
          <w:i w:val="0"/>
          <w:iCs w:val="0"/>
          <w:caps w:val="0"/>
          <w:color w:val="000000"/>
          <w:spacing w:val="0"/>
          <w:sz w:val="32"/>
          <w:szCs w:val="32"/>
          <w:shd w:val="clear" w:fill="FFFFFF"/>
        </w:rPr>
        <w:t>年法治政府建设工作情况报告如下：</w:t>
      </w:r>
    </w:p>
    <w:p w14:paraId="0BD42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rPr>
      </w:pPr>
      <w:r>
        <w:rPr>
          <w:rStyle w:val="8"/>
          <w:rFonts w:hint="default" w:ascii="Times New Roman" w:hAnsi="Times New Roman" w:eastAsia="黑体" w:cs="Times New Roman"/>
          <w:b w:val="0"/>
          <w:bCs/>
          <w:i w:val="0"/>
          <w:iCs w:val="0"/>
          <w:caps w:val="0"/>
          <w:color w:val="000000"/>
          <w:spacing w:val="0"/>
          <w:sz w:val="32"/>
          <w:szCs w:val="32"/>
          <w:shd w:val="clear" w:fill="FFFFFF"/>
        </w:rPr>
        <w:t>一、推进法治政府建设的主要举措及成效</w:t>
      </w:r>
    </w:p>
    <w:p w14:paraId="5858825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（一）强化组织领导，压实工作责任。</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为确保法治政府建设工作的有序开展，及时调整了法治建设工作领导小组，以镇党委书记为组长，镇长为副组长，领导班子其他成员及综合治理办公室干部为成员，负责统筹协调全镇法治建设工作。同时，结合今年工作实际，调整制定《上五庄镇2024年法治政府建设工作实施方案》和《上五庄镇2024年普法依法治理工作实施方案》，明确并细化了目标任务和职责分工，建立了法治建设工作考核机制，将法治建设成效纳入年度绩效考核体系，有效激发了各级干部参与法治建设的积极性和主动性。</w:t>
      </w:r>
    </w:p>
    <w:p w14:paraId="1A62345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（二）强化法治意识，提升法治素养。</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意识是法治建设的基础。我镇高度重视法治宣传教育工作，通过多种形式、多种渠道加强法治宣传教育，不断提升干部群众的法治素养。一是加强在职干部法治教育，通过通过集中学习研讨、个人自学等方式，重点抓好在职党员干部的学法工作，领导班子认真研读《党政主要负责人履行推进法治建设第一责任人职责规定》，全镇干部职工深入学习《宪法》、《党章》等法律法规和习近平总书记系列重要讲话精神特别是关于全面依法治国的重要论述，学习贯彻落实党的二十大以及中央全面依法治国工作会议精神，同时利用每周一、三、五工作例会进行会前学习习近平法治思想、宪法以及相关法律法规，提高干部的法律素养和依法行政能力。一年来，党委中心组学习24余次，专题学习研讨3次，干部集中学习34次，有效推进了领导干部学法系统化、经常化、规范化建设。二是充分利用“山水上五庄”微信公众号、微信工作群、各村LED宣传屏等线上平台，广泛宣传法律法规和法治理念，营造浓厚的法治氛围。三是组织开展了“送法进村”、“法律进社区”、“法律进校园”等主题宣传活动，通过发放宣传资料并现场宣讲、开展法律咨询等方式，广泛宣传防范电信网络诈骗、反邪教、禁毒等与群众生活息息相关的法律知识，将法律知识送到群众身边，特别是加强了对青少年的法治教育，引导青少年树立法治观念，增强法治意识。四是以20个清真寺和1个藏传佛教寺院为法治宣传教育阵地，充分发挥寺管会作用，加强对信教群众的法治讲座和培训，推进寺院法治化。今年与镇属相关单位联合开展宗教场所法治宣传40余次，发放宣传资料6000余册。</w:t>
      </w:r>
    </w:p>
    <w:p w14:paraId="0320B89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（三）完善法治机制，规范行政行为。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机制是保障法治建设顺利推进的关键。我镇注重完善法治机制建设，规范行政行为，确保各项工作依法依规开展。一是认真贯彻落实中纪委"三重一大"制度，确保决策的科学性、民主性和合法性。二是加强了规范性文件管理，对各类规范性文件进行了全面清理和审查，确保文件的合法性和有效性。同时督促政务公开，增强工作透明度，认真贯彻落实中央和省市区政府信息公开的相关要求，重点推进行政权力运行、重大建设项目、政务收支、民生等重点领域信息公开，严格执行重大行政决策法定程序，广泛接受群众监督，充分保障群众知情权、参与权、表达权和监督权。三是强化廉政建设，推进依法执政。充分利用镇廉政教育专题会，开展廉政宣传，在镇形成浓厚的廉政氛围。坚持领导干部述职述廉制度和重大事项报告制度，严格落实党风廉政建设责任制，建立健全促廉保廉机制。</w:t>
      </w:r>
    </w:p>
    <w:p w14:paraId="0C42F7E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（四）加强法治保障，维护社会稳定。</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保障是维护社会稳定的重要手段。我镇注重加强法治保障工作，通过建立健全公共法律服务平台、完善矛盾纠纷排查化解机制等方式，为人民群众提供便捷高效的法律服务。一是加强了公共法律服务平台建设，以镇司法所为依托，不断加强工作人员能力建设，更好地为人民群众提供法律咨询、法律援助等法律服务。二是完善了矛盾纠纷排查化解机制，建立了矛盾纠纷排查化解工作台账，对各类矛盾纠纷进行了全面排查和化解。年内共排查矛盾纠纷118起，化解116起，化解率98%，为群众提供全覆盖、全领域、全过程的纠纷化解服务。三是加强了社会治安综合治理工作，开展“维稳大巡防”，每日不定时、分批次开展巡逻活动，密切关注重点区域、重点人员，妥善处理突发事件，共出动“红袖章”巡逻队22支80余人，网格员150余人，切实做到了“巷有人巡，村有人守、事有人报”，维护了社会稳定和人民群众的生命财产安全。安排开展护学行动，组织建立了10余人的镇级“护学岗”队伍，于每日上下学高峰时段在学校周边开展安全保卫和交通疏导工作，切实保护学生的人身安全。</w:t>
      </w:r>
    </w:p>
    <w:p w14:paraId="77BC75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lang w:val="en-US" w:eastAsia="zh-CN"/>
        </w:rPr>
      </w:pPr>
      <w:r>
        <w:rPr>
          <w:rStyle w:val="8"/>
          <w:rFonts w:hint="default" w:ascii="Times New Roman" w:hAnsi="Times New Roman" w:eastAsia="黑体" w:cs="Times New Roman"/>
          <w:b w:val="0"/>
          <w:bCs/>
          <w:i w:val="0"/>
          <w:iCs w:val="0"/>
          <w:caps w:val="0"/>
          <w:color w:val="000000"/>
          <w:spacing w:val="0"/>
          <w:sz w:val="32"/>
          <w:szCs w:val="32"/>
          <w:shd w:val="clear" w:fill="FFFFFF"/>
          <w:lang w:val="en-US" w:eastAsia="zh-CN"/>
        </w:rPr>
        <w:t>二、法治政府建设存在的不足和原因</w:t>
      </w:r>
    </w:p>
    <w:p w14:paraId="166DA34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一年来，虽然我镇的</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法治政府建设</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工作</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扎实开展</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存在一些问题和不足</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，主要表现在：</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法治工作宣传仍需加强。法治宣传载体还不够丰富，在宣传深度广度上有待拓展，群众参与的积极性、主动性还需提升。二是党员干部的法律素养需进一步强化。部分干部职工学法用法的能力不够，依法办事、依法处理事务方面仍显不足，运用法治思维和法治方式开展工作的能力还需要加强。</w:t>
      </w:r>
    </w:p>
    <w:p w14:paraId="198452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rPr>
      </w:pPr>
      <w:r>
        <w:rPr>
          <w:rStyle w:val="8"/>
          <w:rFonts w:hint="default" w:ascii="Times New Roman" w:hAnsi="Times New Roman" w:eastAsia="黑体" w:cs="Times New Roman"/>
          <w:b w:val="0"/>
          <w:bCs/>
          <w:i w:val="0"/>
          <w:iCs w:val="0"/>
          <w:caps w:val="0"/>
          <w:color w:val="000000"/>
          <w:spacing w:val="0"/>
          <w:sz w:val="32"/>
          <w:szCs w:val="32"/>
          <w:shd w:val="clear" w:fill="FFFFFF"/>
          <w:lang w:val="en-US" w:eastAsia="zh-CN"/>
        </w:rPr>
        <w:t>三</w:t>
      </w:r>
      <w:r>
        <w:rPr>
          <w:rStyle w:val="8"/>
          <w:rFonts w:hint="default" w:ascii="Times New Roman" w:hAnsi="Times New Roman" w:eastAsia="黑体" w:cs="Times New Roman"/>
          <w:b w:val="0"/>
          <w:bCs/>
          <w:i w:val="0"/>
          <w:iCs w:val="0"/>
          <w:caps w:val="0"/>
          <w:color w:val="000000"/>
          <w:spacing w:val="0"/>
          <w:sz w:val="32"/>
          <w:szCs w:val="32"/>
          <w:shd w:val="clear" w:fill="FFFFFF"/>
        </w:rPr>
        <w:t>、党政主要负责人履行推进法治建设第一责任人职责，加强法治政府建设的有关情况</w:t>
      </w:r>
    </w:p>
    <w:p w14:paraId="1BA163A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b w:val="0"/>
          <w:bCs w:val="0"/>
          <w:i w:val="0"/>
          <w:iCs w:val="0"/>
          <w:caps w:val="0"/>
          <w:color w:val="000000"/>
          <w:spacing w:val="0"/>
          <w:sz w:val="32"/>
          <w:szCs w:val="32"/>
          <w:shd w:val="clear" w:fill="FFFFFF"/>
          <w:lang w:val="en-US" w:eastAsia="zh-CN"/>
        </w:rPr>
      </w:pPr>
      <w:r>
        <w:rPr>
          <w:rFonts w:hint="default" w:ascii="仿宋_GB2312" w:hAnsi="仿宋_GB2312" w:eastAsia="仿宋_GB2312" w:cs="仿宋_GB2312"/>
          <w:b/>
          <w:bCs/>
          <w:i w:val="0"/>
          <w:iCs w:val="0"/>
          <w:caps w:val="0"/>
          <w:color w:val="000000"/>
          <w:spacing w:val="0"/>
          <w:sz w:val="32"/>
          <w:szCs w:val="32"/>
          <w:shd w:val="clear" w:fill="FFFFFF"/>
          <w:lang w:val="en-US" w:eastAsia="zh-CN"/>
        </w:rPr>
        <w:t>一是</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带头学法守法。</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坚持</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带头认真学习和深刻领会习近平法治思想的科学体系、丰富内涵、精髓要义，充分认识法治体系的</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重要性</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，增强坚定不移走中国特色社会主义法治道路的自信、底气和定力。坚定不移地贯彻落实党中央关于依法治国的重大决策部署。</w:t>
      </w:r>
      <w:r>
        <w:rPr>
          <w:rFonts w:hint="default" w:ascii="仿宋_GB2312" w:hAnsi="仿宋_GB2312" w:eastAsia="仿宋_GB2312" w:cs="仿宋_GB2312"/>
          <w:b/>
          <w:bCs/>
          <w:i w:val="0"/>
          <w:iCs w:val="0"/>
          <w:caps w:val="0"/>
          <w:color w:val="000000"/>
          <w:spacing w:val="0"/>
          <w:sz w:val="32"/>
          <w:szCs w:val="32"/>
          <w:shd w:val="clear" w:fill="FFFFFF"/>
          <w:lang w:val="en-US" w:eastAsia="zh-CN"/>
        </w:rPr>
        <w:t>二是</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严格廉洁自律。心存敬畏，秉公用权，自觉履行党风廉政建设“一岗双责”，健全各项制度，坚持用制度管人管事，在大是大非面前敢于亮剑，自觉接受组织和干部群众的监督。</w:t>
      </w:r>
      <w:r>
        <w:rPr>
          <w:rFonts w:hint="default" w:ascii="仿宋_GB2312" w:hAnsi="仿宋_GB2312" w:eastAsia="仿宋_GB2312" w:cs="仿宋_GB2312"/>
          <w:b/>
          <w:bCs/>
          <w:i w:val="0"/>
          <w:iCs w:val="0"/>
          <w:caps w:val="0"/>
          <w:color w:val="000000"/>
          <w:spacing w:val="0"/>
          <w:sz w:val="32"/>
          <w:szCs w:val="32"/>
          <w:shd w:val="clear" w:fill="FFFFFF"/>
          <w:lang w:val="en-US" w:eastAsia="zh-CN"/>
        </w:rPr>
        <w:t>三是</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抓好队伍建设。持续坚持干部职工学法用法工作,通过组织法律培训、讲座等，提升工作人员的法律意识和业务能力。</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三</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是将《中华人民共和国宪法》《民法典》等法律法规纳入学习计划，严格落实“谁执法谁普法”普法责任制,把学法用法与日常学习全面结合，全力营造依法治理、素德向善、文明守法的良好学习氛围。</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四是抓好法治基础。</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充分发挥法律顾问在基层的调解作用，全镇21个村、1个社区全部实现法律顾问签约服务，</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积极</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引导参与村务管理，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结合实际，依法</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解决</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群众</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反映的热点、难点问题</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，年内</w:t>
      </w:r>
      <w:r>
        <w:rPr>
          <w:rFonts w:hint="default" w:ascii="仿宋_GB2312" w:hAnsi="仿宋_GB2312" w:eastAsia="仿宋_GB2312" w:cs="仿宋_GB2312"/>
          <w:b w:val="0"/>
          <w:bCs w:val="0"/>
          <w:i w:val="0"/>
          <w:iCs w:val="0"/>
          <w:caps w:val="0"/>
          <w:color w:val="000000"/>
          <w:spacing w:val="0"/>
          <w:sz w:val="32"/>
          <w:szCs w:val="32"/>
          <w:shd w:val="clear" w:fill="FFFFFF"/>
          <w:lang w:val="en-US" w:eastAsia="zh-CN"/>
        </w:rPr>
        <w:t>为村社区提供法律意见7条，有效的推动了依法治村的发展，维护了基层的和谐稳定。</w:t>
      </w:r>
    </w:p>
    <w:p w14:paraId="4890B5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Style w:val="8"/>
          <w:rFonts w:hint="default" w:ascii="Times New Roman" w:hAnsi="Times New Roman" w:eastAsia="黑体" w:cs="Times New Roman"/>
          <w:b w:val="0"/>
          <w:bCs/>
          <w:i w:val="0"/>
          <w:iCs w:val="0"/>
          <w:caps w:val="0"/>
          <w:color w:val="000000"/>
          <w:spacing w:val="0"/>
          <w:sz w:val="32"/>
          <w:szCs w:val="32"/>
          <w:shd w:val="clear" w:fill="FFFFFF"/>
        </w:rPr>
      </w:pPr>
      <w:r>
        <w:rPr>
          <w:rStyle w:val="8"/>
          <w:rFonts w:hint="default" w:ascii="Times New Roman" w:hAnsi="Times New Roman" w:eastAsia="黑体" w:cs="Times New Roman"/>
          <w:b w:val="0"/>
          <w:bCs/>
          <w:i w:val="0"/>
          <w:iCs w:val="0"/>
          <w:caps w:val="0"/>
          <w:color w:val="000000"/>
          <w:spacing w:val="0"/>
          <w:sz w:val="32"/>
          <w:szCs w:val="32"/>
          <w:shd w:val="clear" w:fill="FFFFFF"/>
        </w:rPr>
        <w:t>四、下一年度推进法治政府建设的主要安排</w:t>
      </w:r>
    </w:p>
    <w:p w14:paraId="73DE1B67">
      <w:pPr>
        <w:pStyle w:val="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2025年度</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上五庄</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镇</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将</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以习近平新时代中国特色社会主义思想为指导，全面贯彻落实党的二十大</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，二十届一中、二中、三中全会</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精神，深入学习宣传贯彻习近平法治思想，按照</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区</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委、</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区</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政府有关法治工作要求，不断推动</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各项事务纳入法治化、程序化、规范化的管理轨道，为</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经济社会发展营造良好的法治环境。</w:t>
      </w:r>
    </w:p>
    <w:p w14:paraId="5ED8AF35">
      <w:pPr>
        <w:pStyle w:val="3"/>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仿宋" w:cs="Times New Roman"/>
          <w:b/>
          <w:bCs/>
          <w:color w:val="000000"/>
          <w:sz w:val="32"/>
          <w:szCs w:val="32"/>
          <w:lang w:val="en-US" w:eastAsia="zh-CN"/>
        </w:rPr>
        <w:t>一是</w:t>
      </w:r>
      <w:r>
        <w:rPr>
          <w:rFonts w:hint="eastAsia" w:ascii="Times New Roman" w:hAnsi="Times New Roman" w:eastAsia="仿宋" w:cs="Times New Roman"/>
          <w:b/>
          <w:bCs/>
          <w:color w:val="000000"/>
          <w:sz w:val="32"/>
          <w:szCs w:val="32"/>
          <w:lang w:val="en-US" w:eastAsia="zh-CN"/>
        </w:rPr>
        <w:t>持续加强</w:t>
      </w:r>
      <w:r>
        <w:rPr>
          <w:rFonts w:hint="default" w:ascii="Times New Roman" w:hAnsi="Times New Roman" w:eastAsia="仿宋" w:cs="Times New Roman"/>
          <w:b/>
          <w:bCs/>
          <w:color w:val="000000"/>
          <w:sz w:val="32"/>
          <w:szCs w:val="32"/>
          <w:lang w:val="en-US" w:eastAsia="zh-CN"/>
        </w:rPr>
        <w:t>干部</w:t>
      </w:r>
      <w:r>
        <w:rPr>
          <w:rFonts w:hint="eastAsia" w:ascii="Times New Roman" w:hAnsi="Times New Roman" w:eastAsia="仿宋" w:cs="Times New Roman"/>
          <w:b/>
          <w:bCs/>
          <w:color w:val="000000"/>
          <w:sz w:val="32"/>
          <w:szCs w:val="32"/>
          <w:lang w:val="en-US" w:eastAsia="zh-CN"/>
        </w:rPr>
        <w:t>法治教育</w:t>
      </w:r>
      <w:r>
        <w:rPr>
          <w:rFonts w:hint="default" w:ascii="Times New Roman" w:hAnsi="Times New Roman" w:eastAsia="仿宋" w:cs="Times New Roman"/>
          <w:b/>
          <w:bCs/>
          <w:color w:val="000000"/>
          <w:sz w:val="32"/>
          <w:szCs w:val="32"/>
          <w:lang w:val="en-US" w:eastAsia="zh-CN"/>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通过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“法宣在线”</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“青海干部网络学院”等平台</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组织干部职工</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参与</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学习与</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答题</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等</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活动，</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加强法律法规学习，</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保质保量完成网上学法用法学习任务</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。深化落实党政主要负责人推进法治建设第一责任人职责，扎实开展党委中心组学习及干部职工集体学法，丰富学法内容，提高学法效果，切实提高领导干部运用法治思维与法治方式解决问题的能力，</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进一步加强</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干部队伍法治素养</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二是持续</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深化法治宣传</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持续深入开展好“八五”普法、法治讲座等活动，将《中华人民共和国宪法》《中华人民共和国民法典》及其他重点法律法规作为当前和今后一个时期法治宣传的重要政治任务，努力提高</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群众的法律意识，引导辖区群众学会使用法律武器捍卫自身权益，源头减少违法犯罪事件的发生。</w:t>
      </w:r>
    </w:p>
    <w:p w14:paraId="726D049A">
      <w:pPr>
        <w:pStyle w:val="3"/>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b/>
          <w:bCs/>
          <w:i w:val="0"/>
          <w:iCs w:val="0"/>
          <w:caps w:val="0"/>
          <w:color w:val="000000"/>
          <w:spacing w:val="0"/>
          <w:sz w:val="32"/>
          <w:szCs w:val="32"/>
          <w:shd w:val="clear" w:fill="FFFFFF"/>
          <w:lang w:val="en-US" w:eastAsia="zh-CN"/>
        </w:rPr>
        <w:t>三是夯实</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法治阵地</w:t>
      </w:r>
      <w:r>
        <w:rPr>
          <w:rFonts w:hint="eastAsia" w:ascii="Times New Roman" w:hAnsi="Times New Roman" w:eastAsia="仿宋_GB2312" w:cs="Times New Roman"/>
          <w:b/>
          <w:bCs/>
          <w:i w:val="0"/>
          <w:iCs w:val="0"/>
          <w:caps w:val="0"/>
          <w:color w:val="000000"/>
          <w:spacing w:val="0"/>
          <w:sz w:val="32"/>
          <w:szCs w:val="32"/>
          <w:shd w:val="clear" w:fill="FFFFFF"/>
          <w:lang w:val="en-US" w:eastAsia="zh-CN"/>
        </w:rPr>
        <w:t>建设</w:t>
      </w:r>
      <w:r>
        <w:rPr>
          <w:rFonts w:hint="default" w:ascii="Times New Roman" w:hAnsi="Times New Roman" w:eastAsia="仿宋_GB2312" w:cs="Times New Roman"/>
          <w:b/>
          <w:bCs/>
          <w:i w:val="0"/>
          <w:iCs w:val="0"/>
          <w:caps w:val="0"/>
          <w:color w:val="000000"/>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持续</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不断完善法治政府建设阵地，深入推进依法治镇、依法行政各项工作任务落实，努力建设成为人民群众满意的法治政府，推动</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全镇</w:t>
      </w:r>
      <w:r>
        <w:rPr>
          <w:rFonts w:hint="default" w:ascii="仿宋_GB2312" w:hAnsi="仿宋_GB2312" w:eastAsia="仿宋_GB2312" w:cs="仿宋_GB2312"/>
          <w:b w:val="0"/>
          <w:bCs w:val="0"/>
          <w:i w:val="0"/>
          <w:iCs w:val="0"/>
          <w:caps w:val="0"/>
          <w:color w:val="000000"/>
          <w:spacing w:val="0"/>
          <w:kern w:val="2"/>
          <w:sz w:val="32"/>
          <w:szCs w:val="32"/>
          <w:shd w:val="clear" w:fill="FFFFFF"/>
          <w:lang w:val="en-US" w:eastAsia="zh-CN" w:bidi="ar-SA"/>
        </w:rPr>
        <w:t>经济社会各项事业高质量发展。</w:t>
      </w:r>
    </w:p>
    <w:p w14:paraId="4BCACDA9">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p>
    <w:p w14:paraId="40F551A4">
      <w:pPr>
        <w:keepNext w:val="0"/>
        <w:keepLines w:val="0"/>
        <w:pageBreakBefore w:val="0"/>
        <w:widowControl w:val="0"/>
        <w:kinsoku/>
        <w:wordWrap/>
        <w:overflowPunct/>
        <w:topLinePunct w:val="0"/>
        <w:autoSpaceDE/>
        <w:autoSpaceDN/>
        <w:bidi w:val="0"/>
        <w:adjustRightInd/>
        <w:snapToGrid/>
        <w:spacing w:line="576" w:lineRule="exact"/>
        <w:ind w:firstLine="210" w:firstLineChars="100"/>
        <w:textAlignment w:val="auto"/>
        <w:rPr>
          <w:rFonts w:hint="eastAsia" w:ascii="Times New Roman" w:hAnsi="Times New Roman" w:cs="Times New Roman"/>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DF2B81-0537-4E09-B51E-ED7D10965E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5D5C041-008A-4866-8ECD-F2FE816DAFD5}"/>
  </w:font>
  <w:font w:name="仿宋_GB2312">
    <w:panose1 w:val="02010609030101010101"/>
    <w:charset w:val="86"/>
    <w:family w:val="auto"/>
    <w:pitch w:val="default"/>
    <w:sig w:usb0="00000001" w:usb1="080E0000" w:usb2="00000000" w:usb3="00000000" w:csb0="00040000" w:csb1="00000000"/>
    <w:embedRegular r:id="rId3" w:fontKey="{FE205741-96C3-472B-BFEA-82C2F738E53E}"/>
  </w:font>
  <w:font w:name="楷体_GB2312">
    <w:panose1 w:val="02010609030101010101"/>
    <w:charset w:val="86"/>
    <w:family w:val="auto"/>
    <w:pitch w:val="default"/>
    <w:sig w:usb0="00000001" w:usb1="080E0000" w:usb2="00000000" w:usb3="00000000" w:csb0="00040000" w:csb1="00000000"/>
    <w:embedRegular r:id="rId4" w:fontKey="{D7DC3243-F4F1-4A81-AD08-AF3F0D9ED85E}"/>
  </w:font>
  <w:font w:name="仿宋">
    <w:panose1 w:val="02010609060101010101"/>
    <w:charset w:val="86"/>
    <w:family w:val="auto"/>
    <w:pitch w:val="default"/>
    <w:sig w:usb0="800002BF" w:usb1="38CF7CFA" w:usb2="00000016" w:usb3="00000000" w:csb0="00040001" w:csb1="00000000"/>
    <w:embedRegular r:id="rId5" w:fontKey="{389E7FE4-A15B-4401-8FFF-F259A2A88D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WVkMTExZGRiNzEzYjEyOWNiM2I4NTZkMjUyMWIifQ=="/>
  </w:docVars>
  <w:rsids>
    <w:rsidRoot w:val="7A813119"/>
    <w:rsid w:val="0B5C7472"/>
    <w:rsid w:val="0D761A47"/>
    <w:rsid w:val="16186B3B"/>
    <w:rsid w:val="173603DC"/>
    <w:rsid w:val="1BB03AC0"/>
    <w:rsid w:val="1CE43C52"/>
    <w:rsid w:val="20F203CF"/>
    <w:rsid w:val="227B0201"/>
    <w:rsid w:val="298F41D1"/>
    <w:rsid w:val="30244B73"/>
    <w:rsid w:val="31A0467A"/>
    <w:rsid w:val="387B2511"/>
    <w:rsid w:val="3C5A7E3A"/>
    <w:rsid w:val="45027FA8"/>
    <w:rsid w:val="45CB4319"/>
    <w:rsid w:val="47826E59"/>
    <w:rsid w:val="4D250088"/>
    <w:rsid w:val="50A14174"/>
    <w:rsid w:val="52C96989"/>
    <w:rsid w:val="56C660AE"/>
    <w:rsid w:val="5FCA656F"/>
    <w:rsid w:val="628F4FC7"/>
    <w:rsid w:val="64B54958"/>
    <w:rsid w:val="650747BD"/>
    <w:rsid w:val="665719C8"/>
    <w:rsid w:val="73EA554A"/>
    <w:rsid w:val="799F0548"/>
    <w:rsid w:val="79F84D43"/>
    <w:rsid w:val="7A813119"/>
    <w:rsid w:val="7C1955CC"/>
    <w:rsid w:val="7E552BFD"/>
    <w:rsid w:val="7E9F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line="300" w:lineRule="auto"/>
      <w:ind w:firstLine="643" w:firstLineChars="200"/>
      <w:outlineLvl w:val="2"/>
    </w:pPr>
    <w:rPr>
      <w:rFonts w:ascii="黑体" w:hAnsi="黑体" w:eastAsia="黑体" w:cs="宋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680"/>
      <w:jc w:val="both"/>
    </w:pPr>
    <w:rPr>
      <w:rFonts w:ascii="Times New Roman" w:hAnsi="Times New Roman" w:eastAsia="宋体" w:cs="Times New Roman"/>
      <w:kern w:val="2"/>
      <w:sz w:val="21"/>
      <w:szCs w:val="2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22"/>
    <w:rPr>
      <w:b/>
    </w:rPr>
  </w:style>
  <w:style w:type="paragraph" w:customStyle="1" w:styleId="9">
    <w:name w:val="样式 标题 3 + 首行缩进:  2 字符"/>
    <w:basedOn w:val="2"/>
    <w:autoRedefine/>
    <w:qFormat/>
    <w:uiPriority w:val="0"/>
    <w:pPr>
      <w:spacing w:line="480" w:lineRule="exact"/>
      <w:jc w:val="left"/>
    </w:pPr>
    <w:rPr>
      <w:rFonts w:eastAsia="宋体"/>
      <w:sz w:val="28"/>
      <w:szCs w:val="28"/>
      <w:lang w:bidi="ar-DZ"/>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3185</Words>
  <Characters>3224</Characters>
  <Lines>0</Lines>
  <Paragraphs>0</Paragraphs>
  <TotalTime>5</TotalTime>
  <ScaleCrop>false</ScaleCrop>
  <LinksUpToDate>false</LinksUpToDate>
  <CharactersWithSpaces>3224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2020-06-05T02:33:00Z</dcterms:created>
  <dc:creator>林枫沐雨</dc:creator>
  <cp:lastModifiedBy>WPS_1654836395</cp:lastModifiedBy>
  <cp:lastPrinted>2024-12-02T06:51:00Z</cp:lastPrinted>
  <dcterms:modified xsi:type="dcterms:W3CDTF">2025-03-27T03:42:49Z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2C2E41B1A5F7495CA5DA95BB908B4F71_13</vt:lpwstr>
  </property>
  <property fmtid="{D5CDD505-2E9C-101B-9397-08002B2CF9AE}" pid="4" name="KSOTemplateDocerSaveRecord">
    <vt:lpwstr>eyJoZGlkIjoiOGM5ODA5NmYxNzA5YTMyZjJiMjliMzgzMTliNjY2YjMiLCJ1c2VySWQiOiIxMzgzMzM0NzM1In0=</vt:lpwstr>
  </property>
</Properties>
</file>