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DF7D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sz w:val="32"/>
          <w:szCs w:val="32"/>
        </w:rPr>
      </w:pPr>
      <w:bookmarkStart w:id="0" w:name="OLE_LINK1"/>
    </w:p>
    <w:p w14:paraId="2E1A96C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val="en-US" w:eastAsia="zh-CN"/>
        </w:rPr>
        <w:t>西宁市湟中区</w:t>
      </w:r>
      <w:r>
        <w:rPr>
          <w:rFonts w:hint="default" w:ascii="Times New Roman" w:hAnsi="Times New Roman" w:eastAsia="方正小标宋简体" w:cs="Times New Roman"/>
          <w:sz w:val="44"/>
          <w:szCs w:val="44"/>
          <w:lang w:eastAsia="zh-CN"/>
        </w:rPr>
        <w:t>供销</w:t>
      </w:r>
      <w:r>
        <w:rPr>
          <w:rFonts w:hint="eastAsia" w:ascii="Times New Roman" w:hAnsi="Times New Roman" w:eastAsia="方正小标宋简体" w:cs="Times New Roman"/>
          <w:sz w:val="44"/>
          <w:szCs w:val="44"/>
          <w:lang w:val="en-US" w:eastAsia="zh-CN"/>
        </w:rPr>
        <w:t>合作社</w:t>
      </w:r>
      <w:r>
        <w:rPr>
          <w:rFonts w:hint="default" w:ascii="Times New Roman" w:hAnsi="Times New Roman" w:eastAsia="方正小标宋简体" w:cs="Times New Roman"/>
          <w:sz w:val="44"/>
          <w:szCs w:val="44"/>
          <w:lang w:eastAsia="zh-CN"/>
        </w:rPr>
        <w:t>联</w:t>
      </w:r>
      <w:r>
        <w:rPr>
          <w:rFonts w:hint="eastAsia" w:ascii="Times New Roman" w:hAnsi="Times New Roman" w:eastAsia="方正小标宋简体" w:cs="Times New Roman"/>
          <w:sz w:val="44"/>
          <w:szCs w:val="44"/>
          <w:lang w:val="en-US" w:eastAsia="zh-CN"/>
        </w:rPr>
        <w:t>合</w:t>
      </w:r>
      <w:r>
        <w:rPr>
          <w:rFonts w:hint="default" w:ascii="Times New Roman" w:hAnsi="Times New Roman" w:eastAsia="方正小标宋简体" w:cs="Times New Roman"/>
          <w:sz w:val="44"/>
          <w:szCs w:val="44"/>
          <w:lang w:eastAsia="zh-CN"/>
        </w:rPr>
        <w:t>社</w:t>
      </w:r>
      <w:bookmarkEnd w:id="0"/>
    </w:p>
    <w:p w14:paraId="229D2C4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sz w:val="32"/>
          <w:szCs w:val="32"/>
          <w:lang w:eastAsia="zh-CN"/>
        </w:rPr>
      </w:pPr>
      <w:r>
        <w:rPr>
          <w:rFonts w:hint="eastAsia"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w:t>
      </w:r>
      <w:r>
        <w:rPr>
          <w:rFonts w:hint="eastAsia" w:ascii="Times New Roman" w:hAnsi="Times New Roman" w:eastAsia="方正小标宋简体" w:cs="Times New Roman"/>
          <w:sz w:val="44"/>
          <w:szCs w:val="44"/>
          <w:lang w:val="en-US" w:eastAsia="zh-CN"/>
        </w:rPr>
        <w:t>度</w:t>
      </w:r>
      <w:r>
        <w:rPr>
          <w:rFonts w:hint="default" w:ascii="Times New Roman" w:hAnsi="Times New Roman" w:eastAsia="方正小标宋简体" w:cs="Times New Roman"/>
          <w:sz w:val="44"/>
          <w:szCs w:val="44"/>
          <w:lang w:eastAsia="zh-CN"/>
        </w:rPr>
        <w:t>法治</w:t>
      </w:r>
      <w:r>
        <w:rPr>
          <w:rFonts w:hint="eastAsia" w:ascii="Times New Roman" w:hAnsi="Times New Roman" w:eastAsia="方正小标宋简体" w:cs="Times New Roman"/>
          <w:sz w:val="44"/>
          <w:szCs w:val="44"/>
          <w:lang w:eastAsia="zh-CN"/>
        </w:rPr>
        <w:t>政府</w:t>
      </w:r>
      <w:r>
        <w:rPr>
          <w:rFonts w:hint="default" w:ascii="Times New Roman" w:hAnsi="Times New Roman" w:eastAsia="方正小标宋简体" w:cs="Times New Roman"/>
          <w:sz w:val="44"/>
          <w:szCs w:val="44"/>
          <w:lang w:eastAsia="zh-CN"/>
        </w:rPr>
        <w:t>建设</w:t>
      </w:r>
      <w:r>
        <w:rPr>
          <w:rFonts w:hint="eastAsia" w:ascii="Times New Roman" w:hAnsi="Times New Roman" w:eastAsia="方正小标宋简体" w:cs="Times New Roman"/>
          <w:sz w:val="44"/>
          <w:szCs w:val="44"/>
          <w:lang w:val="en-US" w:eastAsia="zh-CN"/>
        </w:rPr>
        <w:t>情况报告</w:t>
      </w:r>
    </w:p>
    <w:p w14:paraId="42232C3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p w14:paraId="7F37CA97">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p>
    <w:p w14:paraId="7306C3C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2025年作为“八五”普法规划收官之年，区供销联社始终坚持以习近平新时代中国特色社会主义思想为指导，深入贯彻党的二十大及二十届三中、四中全会精神，锚定法治政府建设目标，紧扣服务“三农”核心职能，扎实推进法治建设与供销业务深度融合，全面提升法治履职能力，各项工作取得阶段性成效，现将全年工作情况总结如下：</w:t>
      </w:r>
    </w:p>
    <w:p w14:paraId="3B6E97E8">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一、本年度推进法治政府建设的主要举措及成效</w:t>
      </w:r>
    </w:p>
    <w:p w14:paraId="0907C63D">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（一）健全工作体系，筑牢法治建设根基。</w:t>
      </w:r>
      <w:r>
        <w:rPr>
          <w:rFonts w:hint="eastAsia" w:ascii="仿宋_GB2312" w:hAnsi="仿宋_GB2312" w:eastAsia="仿宋_GB2312" w:cs="仿宋_GB2312"/>
          <w:b w:val="0"/>
          <w:bCs w:val="0"/>
          <w:sz w:val="32"/>
          <w:szCs w:val="32"/>
          <w:lang w:eastAsia="zh-CN"/>
        </w:rPr>
        <w:t>完善领导机制，压实工作责任。将法治政府建设纳入年度重点工作和领导班子绩效考核，成立由主要领导任组长的法治建设领导小组，明确党总支书记第一责任人职责，构建“主要领导亲自抓、分管领导具体抓、各科室协同抓”的工作格局，落实“同部署、同落实、同考核”要求，健全“谁执法谁普法、谁管理谁普法、谁服务谁普法”责任制，形成层层抓落实的责任链条。精准谋划部署，细化任务分工。结合供销工作实际制定年度普法工作计划，将法治建设任务分解至各科室、社属企业，推动上下贯通、横向联动，确保法治工作规范有序、高效推进。</w:t>
      </w:r>
    </w:p>
    <w:p w14:paraId="35DA2751">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（二）深化法治学习，提升全员法治素养。</w:t>
      </w:r>
      <w:r>
        <w:rPr>
          <w:rFonts w:hint="eastAsia" w:ascii="仿宋_GB2312" w:hAnsi="仿宋_GB2312" w:eastAsia="仿宋_GB2312" w:cs="仿宋_GB2312"/>
          <w:b w:val="0"/>
          <w:bCs w:val="0"/>
          <w:sz w:val="32"/>
          <w:szCs w:val="32"/>
          <w:lang w:eastAsia="zh-CN"/>
        </w:rPr>
        <w:t>聚焦政治引领，强化思想武装。把学习贯彻习近平法治思想作为首要政治任务，构建“领导干部带头学、机关干部重点学、社属企业及专业合作社跟进学”学习体系，推动法治思想贯穿供销工作全领域、全过程。同时丰富学习形式，拓宽学习载体。按要求完成区委法治办季度学法任务，全年组织《监察法》《治安管理处罚法》等法律法规集中学习11次。依托“法宣在线”、微信工作群等线上平台开展常态化学习，实现学法内容多样化、学习效果最大化。</w:t>
      </w:r>
    </w:p>
    <w:p w14:paraId="0E58F4E2">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（三）创新普法宣传，营造良好法治环境。</w:t>
      </w:r>
      <w:r>
        <w:rPr>
          <w:rFonts w:hint="eastAsia" w:ascii="仿宋_GB2312" w:hAnsi="仿宋_GB2312" w:eastAsia="仿宋_GB2312" w:cs="仿宋_GB2312"/>
          <w:b w:val="0"/>
          <w:bCs w:val="0"/>
          <w:sz w:val="32"/>
          <w:szCs w:val="32"/>
          <w:lang w:eastAsia="zh-CN"/>
        </w:rPr>
        <w:t>精准对接受众，强化分类普法。面向干部职工、企业员工、合作社成员及帮扶村群众开展针对性宣传，提升干部职工法治履职能力，引导企业合法经营，增强群众法治意识与维权能力。同时借助“3·15”“4·15”“宪法宣传周”等重要节点，通过发放宣传资料、现场答疑等线下方式开展集中宣传。依托“互联网+普法”模式，在微信工作群常态化推送法律知识，推动法治宣传全覆盖、常态化。</w:t>
      </w:r>
    </w:p>
    <w:p w14:paraId="2A1E710E">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（四）规范依法治理，护航事业高质量发展。</w:t>
      </w:r>
      <w:r>
        <w:rPr>
          <w:rFonts w:hint="eastAsia" w:ascii="仿宋_GB2312" w:hAnsi="仿宋_GB2312" w:eastAsia="仿宋_GB2312" w:cs="仿宋_GB2312"/>
          <w:b w:val="0"/>
          <w:bCs w:val="0"/>
          <w:sz w:val="32"/>
          <w:szCs w:val="32"/>
          <w:lang w:eastAsia="zh-CN"/>
        </w:rPr>
        <w:t>严格决策程序，防范法律风险。全面落实“三重一大”集体决策制度，推行法律顾问制度，对重大决策、重要合同开展合法性审查，确保决策合法合规、科学民主。强化监管治理，守住安全底线。严格执行社有资产监管办法，实行“双线运营”“县基一体化”管理模式，规范重大资产处置流程，妥善化解企业历史遗留问题，严防社有资产流失。依章召开全区供销联社第一次代表大会，完善治理机制，在农资供应、项目实施等业务中严格依法办事，加强重点领域隐患排查整治，推动供销工作在法治轨道运行。</w:t>
      </w:r>
    </w:p>
    <w:p w14:paraId="3691FE16">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二、本年度推进法治政府建设存在的问题及原因分析</w:t>
      </w:r>
    </w:p>
    <w:p w14:paraId="00B088D5">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（一）存在的问题。</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普法工作深度有待提升。普法以单向知识传达为主，结合实际案例深度解读较少，法治精神内化转化效果不佳。</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法治与业务融合不深。法治建设与为农服务、基层组织建设、企业经营管理等核心业务结合点不够精准，法治对业务发展的支撑护航作用发挥不够充分。</w:t>
      </w:r>
    </w:p>
    <w:p w14:paraId="1A7FC6BD">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（二）原因分析。</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思想认识存在偏差。对法治建设的深层次意义理解不够透彻，对普法深度、融合力度的重视程度不足。</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工作举措不够精准。缺乏针对供销业务特点的个性化法治推进方案，在找准法治与业务融合切入点、设计差异化普法内容等方面思考不够深入。</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队伍能力有待提升。法治工作专业力量薄弱，工作人员精准普法、推动法治与业务融合的能力有待提升。</w:t>
      </w:r>
    </w:p>
    <w:p w14:paraId="4D3647AE">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三、本年度党政主要负责人履行推进法治建设第一责任人职责情况</w:t>
      </w:r>
    </w:p>
    <w:p w14:paraId="56302A99">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（一）高位统筹部署，压实法治责任。</w:t>
      </w:r>
      <w:r>
        <w:rPr>
          <w:rFonts w:hint="eastAsia" w:ascii="仿宋_GB2312" w:hAnsi="仿宋_GB2312" w:eastAsia="仿宋_GB2312" w:cs="仿宋_GB2312"/>
          <w:b w:val="0"/>
          <w:bCs w:val="0"/>
          <w:sz w:val="32"/>
          <w:szCs w:val="32"/>
          <w:lang w:eastAsia="zh-CN"/>
        </w:rPr>
        <w:t>党总支书记切实履行法治建设第一责任人职责，将法治政府建设纳入区社重点工作统筹推进，牵头成立法治建设领导小组，定期研究法治工作重点任务，明确工作方向与落实举措，推动形成一级抓一级、层层抓落实的工作格局。</w:t>
      </w:r>
    </w:p>
    <w:p w14:paraId="0557A41B">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（二）带头示范引领，强化法治践行。</w:t>
      </w:r>
      <w:r>
        <w:rPr>
          <w:rFonts w:hint="eastAsia" w:ascii="仿宋_GB2312" w:hAnsi="仿宋_GB2312" w:eastAsia="仿宋_GB2312" w:cs="仿宋_GB2312"/>
          <w:b w:val="0"/>
          <w:bCs w:val="0"/>
          <w:sz w:val="32"/>
          <w:szCs w:val="32"/>
          <w:lang w:eastAsia="zh-CN"/>
        </w:rPr>
        <w:t>主动带头学习习近平法治思想及相关法律法规，引领班子成员、干部职工养成学法用法习惯。严格落实“一岗双责”，将法治建设成效纳入领导干部年度考核与述职述廉内容，倒逼责任落实，推动班子成员自觉运用法治思维、法治方式开展工作、解决问题。</w:t>
      </w:r>
    </w:p>
    <w:p w14:paraId="7E44CED0">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（三）聚焦关键环节，强化监督落实。</w:t>
      </w:r>
      <w:r>
        <w:rPr>
          <w:rFonts w:hint="eastAsia" w:ascii="仿宋_GB2312" w:hAnsi="仿宋_GB2312" w:eastAsia="仿宋_GB2312" w:cs="仿宋_GB2312"/>
          <w:b w:val="0"/>
          <w:bCs w:val="0"/>
          <w:sz w:val="32"/>
          <w:szCs w:val="32"/>
          <w:lang w:eastAsia="zh-CN"/>
        </w:rPr>
        <w:t>牵头制定年度法治工作计划，定期督导各科室、直属企业法治工作推进情况，重点关注重大决策合法性审查、普法宣传落地、社有资产法治监管等关键工作，及时解决推进中的堵点难点问题，确保法治政府建设各项任务落地见效。</w:t>
      </w:r>
    </w:p>
    <w:p w14:paraId="236E0F77">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四、下一年度推进法治政府建设的主要安排</w:t>
      </w:r>
    </w:p>
    <w:p w14:paraId="227048C1">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（一）深化法治学习教育，提升思想践行能力。</w:t>
      </w:r>
      <w:r>
        <w:rPr>
          <w:rFonts w:hint="eastAsia" w:ascii="仿宋_GB2312" w:hAnsi="仿宋_GB2312" w:eastAsia="仿宋_GB2312" w:cs="仿宋_GB2312"/>
          <w:b w:val="0"/>
          <w:bCs w:val="0"/>
          <w:sz w:val="32"/>
          <w:szCs w:val="32"/>
          <w:lang w:eastAsia="zh-CN"/>
        </w:rPr>
        <w:t>持续把习近平法治思想学习贯穿始终，重点学习新业态、新领域相关法律法规，创新学习形式，增加案例教学、专题研讨等内容，推动学法从“懂法条”向“善用法治理念”转变，全面提升全员法治履职、用法维权能力。</w:t>
      </w:r>
    </w:p>
    <w:p w14:paraId="632A3B78">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（二）优化精准普法举措，增强普法实际成效。</w:t>
      </w:r>
      <w:r>
        <w:rPr>
          <w:rFonts w:hint="eastAsia" w:ascii="仿宋_GB2312" w:hAnsi="仿宋_GB2312" w:eastAsia="仿宋_GB2312" w:cs="仿宋_GB2312"/>
          <w:b w:val="0"/>
          <w:bCs w:val="0"/>
          <w:sz w:val="32"/>
          <w:szCs w:val="32"/>
          <w:lang w:eastAsia="zh-CN"/>
        </w:rPr>
        <w:t>制定实施“精准普法”工作计划，针对干部职工、企业经营者、基层群众等不同群体，量身设计普法内容与形式，多运用实际案例开展深度解读，提升普法参与度与感染力，推动法治精神内化于心、外化于行。</w:t>
      </w:r>
    </w:p>
    <w:p w14:paraId="04DA061F">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（三）深化法治业务融合，提升依法治理效能。</w:t>
      </w:r>
      <w:r>
        <w:rPr>
          <w:rFonts w:hint="eastAsia" w:ascii="仿宋_GB2312" w:hAnsi="仿宋_GB2312" w:eastAsia="仿宋_GB2312" w:cs="仿宋_GB2312"/>
          <w:b w:val="0"/>
          <w:bCs w:val="0"/>
          <w:sz w:val="32"/>
          <w:szCs w:val="32"/>
          <w:lang w:eastAsia="zh-CN"/>
        </w:rPr>
        <w:t>找准法治建设与为农服务、资产管理等核心业务的结合点，将法治要求嵌入业务全流程，完善法律风险防控体系，强化社属企业重大决策、合同管理的合法性审查，用法治手段破解发展难题、化解历史遗留问题。</w:t>
      </w:r>
    </w:p>
    <w:p w14:paraId="2959583C">
      <w:pPr>
        <w:pStyle w:val="3"/>
        <w:keepNext w:val="0"/>
        <w:keepLines w:val="0"/>
        <w:pageBreakBefore w:val="0"/>
        <w:widowControl w:val="0"/>
        <w:kinsoku/>
        <w:wordWrap/>
        <w:overflowPunct/>
        <w:topLinePunct w:val="0"/>
        <w:autoSpaceDE/>
        <w:autoSpaceDN/>
        <w:bidi w:val="0"/>
        <w:adjustRightInd/>
        <w:snapToGrid w:val="0"/>
        <w:spacing w:before="0" w:beforeLines="0" w:after="0" w:afterLines="0" w:line="576"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sz w:val="32"/>
          <w:szCs w:val="32"/>
          <w:lang w:eastAsia="zh-CN"/>
        </w:rPr>
        <w:t>（四）健全工作推进机制，夯实法治建设保障。</w:t>
      </w:r>
      <w:r>
        <w:rPr>
          <w:rFonts w:hint="eastAsia" w:ascii="仿宋_GB2312" w:hAnsi="仿宋_GB2312" w:eastAsia="仿宋_GB2312" w:cs="仿宋_GB2312"/>
          <w:b w:val="0"/>
          <w:bCs w:val="0"/>
          <w:sz w:val="32"/>
          <w:szCs w:val="32"/>
          <w:lang w:eastAsia="zh-CN"/>
        </w:rPr>
        <w:t>进一步提高政治站位，压实工作责任，加强法治工作队伍建设，提升工作人员专业能力，持续补短板、强弱项，以高水平法治政府建设为全区供销合作事业高质量发展提供坚实法治保障。</w:t>
      </w:r>
    </w:p>
    <w:p w14:paraId="76ADF3AB">
      <w:pPr>
        <w:pageBreakBefore w:val="0"/>
        <w:widowControl/>
        <w:shd w:val="clear" w:color="auto" w:fill="FFFFFF"/>
        <w:kinsoku/>
        <w:wordWrap/>
        <w:overflowPunct/>
        <w:topLinePunct w:val="0"/>
        <w:autoSpaceDE/>
        <w:autoSpaceDN/>
        <w:bidi w:val="0"/>
        <w:adjustRightInd/>
        <w:snapToGrid/>
        <w:spacing w:line="536" w:lineRule="exact"/>
        <w:ind w:left="0" w:leftChars="0" w:right="0" w:rightChars="0" w:firstLine="3840" w:firstLineChars="1200"/>
        <w:jc w:val="both"/>
        <w:textAlignment w:val="auto"/>
        <w:rPr>
          <w:rFonts w:hint="eastAsia" w:ascii="Times New Roman" w:hAnsi="Times New Roman" w:eastAsia="仿宋_GB2312" w:cs="Times New Roman"/>
          <w:sz w:val="32"/>
          <w:szCs w:val="32"/>
          <w:lang w:val="en-US" w:eastAsia="zh-CN"/>
        </w:rPr>
      </w:pPr>
    </w:p>
    <w:p w14:paraId="5AC23FD2">
      <w:pPr>
        <w:pageBreakBefore w:val="0"/>
        <w:widowControl/>
        <w:shd w:val="clear" w:color="auto" w:fill="FFFFFF"/>
        <w:kinsoku/>
        <w:wordWrap/>
        <w:overflowPunct/>
        <w:topLinePunct w:val="0"/>
        <w:autoSpaceDE/>
        <w:autoSpaceDN/>
        <w:bidi w:val="0"/>
        <w:adjustRightInd/>
        <w:snapToGrid/>
        <w:spacing w:line="536" w:lineRule="exact"/>
        <w:ind w:left="0" w:leftChars="0" w:right="0" w:rightChars="0" w:firstLine="3840" w:firstLineChars="1200"/>
        <w:jc w:val="both"/>
        <w:textAlignment w:val="auto"/>
        <w:rPr>
          <w:rFonts w:hint="eastAsia" w:ascii="Times New Roman" w:hAnsi="Times New Roman" w:eastAsia="仿宋_GB2312" w:cs="Times New Roman"/>
          <w:sz w:val="32"/>
          <w:szCs w:val="32"/>
          <w:lang w:val="en-US" w:eastAsia="zh-CN"/>
        </w:rPr>
      </w:pPr>
    </w:p>
    <w:p w14:paraId="6B060C7D">
      <w:pPr>
        <w:pageBreakBefore w:val="0"/>
        <w:widowControl/>
        <w:shd w:val="clear" w:color="auto" w:fill="FFFFFF"/>
        <w:kinsoku/>
        <w:wordWrap/>
        <w:overflowPunct/>
        <w:topLinePunct w:val="0"/>
        <w:autoSpaceDE/>
        <w:autoSpaceDN/>
        <w:bidi w:val="0"/>
        <w:adjustRightInd/>
        <w:snapToGrid/>
        <w:spacing w:line="536" w:lineRule="exact"/>
        <w:ind w:right="0" w:rightChars="0"/>
        <w:jc w:val="both"/>
        <w:textAlignment w:val="auto"/>
        <w:rPr>
          <w:rFonts w:hint="eastAsia" w:ascii="Times New Roman" w:hAnsi="Times New Roman" w:eastAsia="仿宋_GB2312" w:cs="Times New Roman"/>
          <w:sz w:val="32"/>
          <w:szCs w:val="32"/>
          <w:lang w:val="en-US" w:eastAsia="zh-CN"/>
        </w:rPr>
      </w:pPr>
    </w:p>
    <w:p w14:paraId="621621BA">
      <w:pPr>
        <w:pageBreakBefore w:val="0"/>
        <w:widowControl/>
        <w:shd w:val="clear" w:color="auto" w:fill="FFFFFF"/>
        <w:kinsoku/>
        <w:wordWrap/>
        <w:overflowPunct/>
        <w:topLinePunct w:val="0"/>
        <w:autoSpaceDE/>
        <w:autoSpaceDN/>
        <w:bidi w:val="0"/>
        <w:adjustRightInd/>
        <w:snapToGrid/>
        <w:spacing w:line="536" w:lineRule="exact"/>
        <w:ind w:left="0" w:leftChars="0" w:right="0" w:rightChars="0" w:firstLine="4800" w:firstLineChars="1500"/>
        <w:jc w:val="both"/>
        <w:textAlignment w:val="auto"/>
        <w:rPr>
          <w:rFonts w:hint="default" w:ascii="Times New Roman" w:hAnsi="Times New Roman" w:eastAsia="仿宋_GB2312" w:cs="Times New Roman"/>
          <w:sz w:val="32"/>
          <w:szCs w:val="32"/>
          <w:lang w:val="en-US" w:eastAsia="zh-CN"/>
        </w:rPr>
      </w:pPr>
      <w:bookmarkStart w:id="1" w:name="_GoBack"/>
      <w:bookmarkEnd w:id="1"/>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9E298">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4987925</wp:posOffset>
              </wp:positionH>
              <wp:positionV relativeFrom="paragraph">
                <wp:posOffset>-366395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11876">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75pt;margin-top:-28.85pt;height:144pt;width:144pt;mso-position-horizontal-relative:margin;mso-wrap-style:none;z-index:251659264;mso-width-relative:page;mso-height-relative:page;" filled="f" stroked="f" coordsize="21600,21600" o:gfxdata="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1S5+L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69811876">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YmNkZTM1NzU3ZDdiOTk0MmM0MmU1MjAzODk5MjkifQ=="/>
    <w:docVar w:name="KSO_WPS_MARK_KEY" w:val="af144881-ba1f-4a4d-afc6-98682fccc8e0"/>
  </w:docVars>
  <w:rsids>
    <w:rsidRoot w:val="6D627943"/>
    <w:rsid w:val="00BA2A62"/>
    <w:rsid w:val="03E00A2D"/>
    <w:rsid w:val="06080A7C"/>
    <w:rsid w:val="070F2AF3"/>
    <w:rsid w:val="078428AB"/>
    <w:rsid w:val="07921225"/>
    <w:rsid w:val="07E87F3D"/>
    <w:rsid w:val="09983CBF"/>
    <w:rsid w:val="0ACD6A19"/>
    <w:rsid w:val="0C13432E"/>
    <w:rsid w:val="0E210F54"/>
    <w:rsid w:val="0F7F00E1"/>
    <w:rsid w:val="107B5764"/>
    <w:rsid w:val="11311E00"/>
    <w:rsid w:val="11402AF8"/>
    <w:rsid w:val="13C17870"/>
    <w:rsid w:val="14E442E5"/>
    <w:rsid w:val="15412728"/>
    <w:rsid w:val="15562DB1"/>
    <w:rsid w:val="17C27715"/>
    <w:rsid w:val="17CC39A8"/>
    <w:rsid w:val="194B191C"/>
    <w:rsid w:val="1A3B20E4"/>
    <w:rsid w:val="1AAF3D66"/>
    <w:rsid w:val="1B103473"/>
    <w:rsid w:val="1B9922E1"/>
    <w:rsid w:val="1CDC57A9"/>
    <w:rsid w:val="1F2D1952"/>
    <w:rsid w:val="1F6C42C7"/>
    <w:rsid w:val="2184648F"/>
    <w:rsid w:val="218D7F83"/>
    <w:rsid w:val="25223266"/>
    <w:rsid w:val="25393B1E"/>
    <w:rsid w:val="262700D6"/>
    <w:rsid w:val="2799043E"/>
    <w:rsid w:val="2A4254C3"/>
    <w:rsid w:val="2A605BF8"/>
    <w:rsid w:val="2A650F26"/>
    <w:rsid w:val="2ADC699A"/>
    <w:rsid w:val="2B994347"/>
    <w:rsid w:val="2D635C20"/>
    <w:rsid w:val="3048309D"/>
    <w:rsid w:val="30F739E7"/>
    <w:rsid w:val="34C74D5B"/>
    <w:rsid w:val="35CE7169"/>
    <w:rsid w:val="364B53E0"/>
    <w:rsid w:val="375349A2"/>
    <w:rsid w:val="386103A5"/>
    <w:rsid w:val="39D87690"/>
    <w:rsid w:val="3A1B2D20"/>
    <w:rsid w:val="3AD60FF6"/>
    <w:rsid w:val="3B071D45"/>
    <w:rsid w:val="3C65078F"/>
    <w:rsid w:val="3C983B17"/>
    <w:rsid w:val="3CE92F24"/>
    <w:rsid w:val="3E915593"/>
    <w:rsid w:val="3F064505"/>
    <w:rsid w:val="4044335A"/>
    <w:rsid w:val="42723962"/>
    <w:rsid w:val="436D77BF"/>
    <w:rsid w:val="47895A8A"/>
    <w:rsid w:val="47C31157"/>
    <w:rsid w:val="48854A18"/>
    <w:rsid w:val="498826D2"/>
    <w:rsid w:val="4AB06CAF"/>
    <w:rsid w:val="4ABC2E40"/>
    <w:rsid w:val="4B8940A6"/>
    <w:rsid w:val="4C6A7A8E"/>
    <w:rsid w:val="4CA74144"/>
    <w:rsid w:val="4D072B60"/>
    <w:rsid w:val="4D50799F"/>
    <w:rsid w:val="4DDF6920"/>
    <w:rsid w:val="4ECA4586"/>
    <w:rsid w:val="50766634"/>
    <w:rsid w:val="53DD6858"/>
    <w:rsid w:val="57AE7947"/>
    <w:rsid w:val="5932468E"/>
    <w:rsid w:val="59650654"/>
    <w:rsid w:val="5D2668FF"/>
    <w:rsid w:val="5D723EDB"/>
    <w:rsid w:val="5E82203E"/>
    <w:rsid w:val="5F86479F"/>
    <w:rsid w:val="61CF6F34"/>
    <w:rsid w:val="68A72F59"/>
    <w:rsid w:val="68D737C9"/>
    <w:rsid w:val="698773B1"/>
    <w:rsid w:val="6AD215FE"/>
    <w:rsid w:val="6BF6110F"/>
    <w:rsid w:val="6C8D19F3"/>
    <w:rsid w:val="6D627943"/>
    <w:rsid w:val="6E3048FE"/>
    <w:rsid w:val="6EA31DE8"/>
    <w:rsid w:val="739C6E35"/>
    <w:rsid w:val="75813FAE"/>
    <w:rsid w:val="7591577A"/>
    <w:rsid w:val="765E30FF"/>
    <w:rsid w:val="794975D9"/>
    <w:rsid w:val="796E77C6"/>
    <w:rsid w:val="7B513F58"/>
    <w:rsid w:val="7D30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semiHidden/>
    <w:unhideWhenUsed/>
    <w:qFormat/>
    <w:uiPriority w:val="0"/>
    <w:pPr>
      <w:keepNext/>
      <w:keepLines/>
      <w:widowControl w:val="0"/>
      <w:spacing w:before="260" w:after="260" w:line="416" w:lineRule="auto"/>
      <w:jc w:val="both"/>
      <w:outlineLvl w:val="1"/>
    </w:pPr>
    <w:rPr>
      <w:rFonts w:ascii="Cambria" w:hAnsi="Cambria" w:eastAsia="宋体" w:cs="黑体"/>
      <w:b/>
      <w:bCs/>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3">
    <w:name w:val="文档正文"/>
    <w:qFormat/>
    <w:uiPriority w:val="0"/>
    <w:pPr>
      <w:widowControl w:val="0"/>
      <w:snapToGrid w:val="0"/>
      <w:spacing w:before="60" w:beforeLines="0" w:after="60" w:afterLines="0" w:line="360" w:lineRule="atLeast"/>
      <w:ind w:firstLine="482"/>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2323</Words>
  <Characters>2337</Characters>
  <Lines>0</Lines>
  <Paragraphs>0</Paragraphs>
  <TotalTime>0</TotalTime>
  <ScaleCrop>false</ScaleCrop>
  <LinksUpToDate>false</LinksUpToDate>
  <CharactersWithSpaces>2337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2023-11-06T03:34:00Z</dcterms:created>
  <dc:creator>Administrator</dc:creator>
  <cp:lastModifiedBy>心安</cp:lastModifiedBy>
  <cp:lastPrinted>2023-11-22T03:21:00Z</cp:lastPrinted>
  <dcterms:modified xsi:type="dcterms:W3CDTF">2026-03-19T09:01:38Z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E10A03DF1E5E4B029F9E294CDC2D09E1</vt:lpwstr>
  </property>
  <property fmtid="{D5CDD505-2E9C-101B-9397-08002B2CF9AE}" pid="4" name="KSOTemplateDocerSaveRecord">
    <vt:lpwstr>eyJoZGlkIjoiNTk1ZmVkMTdkZGI2OWQ1MmFkZDY3ZDE5OTQxZmMxODYiLCJ1c2VySWQiOiI3NzI1MjYxNTUifQ==</vt:lpwstr>
  </property>
</Properties>
</file>