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240EA">
      <w:pPr>
        <w:spacing w:before="490" w:beforeLines="150" w:after="490" w:afterLines="150" w:line="740" w:lineRule="exact"/>
        <w:jc w:val="center"/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西宁市湟中区农业农村局</w:t>
      </w:r>
      <w:r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关于2025年法治政府建设情况报告</w:t>
      </w:r>
    </w:p>
    <w:p w14:paraId="616E1014">
      <w:pPr>
        <w:spacing w:line="576" w:lineRule="exact"/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2025年，区农业农村局</w:t>
      </w:r>
      <w:r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坚持以习近平新时代中国特色社会主义思想为指导，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深入贯彻落实习近平法治思想，紧紧围绕《西宁市湟中区2025年法治政府建设工作要点》，扎实推进法治政府建设各项工作，为全区农业农村高质量发展提供坚实法治保障。</w:t>
      </w:r>
    </w:p>
    <w:p w14:paraId="6116160B">
      <w:pPr>
        <w:spacing w:line="576" w:lineRule="exact"/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一、推进法治政府建设的主要举措及成效</w:t>
      </w:r>
    </w:p>
    <w:p w14:paraId="2C031366">
      <w:pPr>
        <w:spacing w:line="576" w:lineRule="exact"/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（一）持续完善工作推进机制，压实法治建设责任。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严格落实党政主要负责人履行法治建设第一责任人职责，</w:t>
      </w:r>
      <w:r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坚持以习近平法治思想引领法治政府建设，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把党的领导落实到法治建设全过程各方面。全年召开专题会议研究法治建设工作4次，梳理涉农法治重点任务12项，实行销号闭环管理，“关键少数”尊法学法守法用法意识显著增强。运用法治思维推动工作的能力不断提升，严格执行重大行政决策程序，涉及涉农项目审批、补贴发放等重大事项，均在党组（扩大）会上充分征求意见、开展合法性审查，全年未发生因决策失误引发的矛盾纠纷。持续健全述法机制，积极推广“专题述法＋书记点评＋民主评议”模式，压实各党支部抓法治建设责任。</w:t>
      </w:r>
    </w:p>
    <w:p w14:paraId="71B39FE9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（二）持续促进依法行政全面落实，规范执法行为。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照农业农村领域重大行政决策事项范围，履行法定程序公布涉农补贴政策调整、重点产业发展规划等年度重大行政决策事项目录1批。聚焦农业投入品、农作物种子经营、私屠乱宰等开展专项执法行动8次，查处违法案件17起。联合市场监管部门开展“双随机、一公开”抽查市场主体66家。严格落实行政执法“三项制度”，执法公示率、记录率、重大执法决定法制审核率均按要求全部达到。推行包容审慎监管，对轻微违法行为依法采用“首违不罚”，全年作出柔性执法决定9件，引导行政相对人自觉守法。</w:t>
      </w:r>
    </w:p>
    <w:p w14:paraId="1A8C33A6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（三）持续深化法治领域改革，提升治理效能。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政务信息公开，主动公开涉农政策文件、审批流程、补贴发放等信息320余条，依法回应群众信息公开申请18件，保障群众知情权、参与权和监督权。强化全方位多维度监督，自觉接受人大监督、政协民主监督，积极配合相关部门开展涉农执法监督检查，全年整改各类问题6项。规范涉农案件移送流程，畅通行政复议渠道，积极配合区司法局做好涉农行政复议案件办理，全年参与行政复议案件2件，均依法依规提供相关证据材料，助力案件实质性化解。</w:t>
      </w:r>
    </w:p>
    <w:p w14:paraId="0E0E965C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（四）持续优化法治化营商环境，激发市场活力。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涉企行政检查相关规定，推行联合检查、非现场执法，组织专业力量深入涉农企业开展法律政策宣传、风险排查等“一对一”服务12次，帮助企业防范法律风险18项。聚焦涉农行政审批事项，持续推进“两优一减”，29个涉农行政审批主项中，15个实现在线办理，网上可办率达54%。严格落实行政许可精简申报材料、压缩办理时限要求，切实提升为民服务效率。</w:t>
      </w:r>
    </w:p>
    <w:p w14:paraId="5F4BF288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（五）持续提升防范化解风险能力，维护社会稳定。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“谁执法谁普法”责任制，开展农业法律法规“进农村、进企业”宣传活动16次，受众2800余人次。组织开展行政执法、营商环境政策等业务培训3次，提升行政执法人员法治专业能力。发挥法律顾问作用，开展法律咨询56次，审查涉农合同、文件27件，行政处罚案件29起，确保行政行为合法合规。组织农机安全、畜禽防疫等应急演练多次，提升依法处置突发事件能力。畅通12345、12315等投诉举报渠道，建立办理闭环管理机制，群众正常诉求办结率和群众满意度均达93%以上。</w:t>
      </w:r>
    </w:p>
    <w:p w14:paraId="4AC25184">
      <w:pPr>
        <w:spacing w:line="576" w:lineRule="exact"/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二、2025年度党政主要负责人履行推进法治建设第一责任人职责情况</w:t>
      </w:r>
    </w:p>
    <w:p w14:paraId="0CA8EF60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学习习近平法治思想和相关法律法规，准确把握精神实质，将法治建设纳入我局年度工作计划，与其他重点工作同部署、同督查。适时召开党组会研究法治建设工作，及时解决法治建设中的重大问题，为法治工作提供了坚实的组织保障和决策支持。常态化用好用活党组（扩大）理论学习中心组学习、“三会一课”等有效载体，带头参加法治培训、专题学法活动6次，组织干部职工深入学习贯彻习近平法治思想及《中国共产党纪律处分条例》等法律法规，带动班子成员和全体工作人员尊法学法守法用法。建立“主要负责人牵头抓总、分管领导具体负责、各科室协同推进”的工作机制，将法治建设责任分解到岗、落实到人。定期开展法治建设专项督查，对工作推进不力的科室和个人进行约谈提醒，督促整改问题6项。在涉农项目审批、重大政策制定等工作中，坚持依法决策，主动听取法律顾问意见建议，全年召开重大事项合法性审查会议8次。严格执行领导干部述法制度，在年度考核中专题报告履行法治建设第一责任人职责情况，接受民主评议。</w:t>
      </w:r>
    </w:p>
    <w:p w14:paraId="729D3361">
      <w:pPr>
        <w:spacing w:line="576" w:lineRule="exact"/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三、2025年度推进法治政府建设存在的问题及原因分析</w:t>
      </w:r>
    </w:p>
    <w:p w14:paraId="78733F54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一年来，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</w:t>
      </w:r>
      <w:r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法治政府建设取得了一定成效，但对标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法治政府建设要求</w:t>
      </w:r>
      <w:r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，还存在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</w:t>
      </w:r>
      <w:r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一是法治思维运用不够充分。部分工作人员法律法规专业素养和执法能力有待进一步提升，运用法治思维处理涉农信访、项目推进等问题的能力不足，柔性执法、精准执法的方式方法有待丰富；二是行政执法规范化水平仍有提升空间。普法宣传形式单一，针对新型农业经营主体个性化普法服务不够精准。个别执法人员执法文书制作不够规范，执法全过程记录归档不够及时。</w:t>
      </w:r>
    </w:p>
    <w:p w14:paraId="06BA2FF6">
      <w:pPr>
        <w:spacing w:line="576" w:lineRule="exact"/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四、下一年度推进法治政府建设的主要安排</w:t>
      </w:r>
    </w:p>
    <w:p w14:paraId="3814CB5B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深化法治理念引领。持续开展习近平法治思想和农业法律法规学习培训，组织专题培训不少于4场次，提升工作人员法治思维和依法办事能力。创新普法宣传形式，开展个性化、精准化普法活动20次，重点加强对新型农业经营主体的普法服务。</w:t>
      </w:r>
    </w:p>
    <w:p w14:paraId="36E1DBB2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（二）规范行政执法行为。深入推进行政执法质量提升行动，加强执法队伍专业化建设，开展执法培训不少于3场次。规范执法文书制作和全过程记录归档，丰富柔性执法方式，提升执法规范化水平。</w:t>
      </w:r>
    </w:p>
    <w:p w14:paraId="3BDA497E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优化法治化营商环境。持续推进政务服务“一网通办”，力争涉农行政审批事项全部实现在线办理。扩大涉企经营许可事项告知承诺制覆盖面，进一步压缩办理时限、精简办事材料。开展企业“法治体检”不少于15次，为涉农企业提供更加优质的法律服务。</w:t>
      </w:r>
    </w:p>
    <w:p w14:paraId="665B2E57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（四）提升风险化解能力。加强基层调解力量建设，开展调解业务培训2场次，提升涉农矛盾纠纷化解能力。完善应急处置机制，开展应急演练不少于4次，提高依法应对突发事件能力。</w:t>
      </w:r>
    </w:p>
    <w:p w14:paraId="054BC175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9DCDEE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AAC6FB">
      <w:pPr>
        <w:spacing w:line="576" w:lineRule="exact"/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4A63DE">
      <w:pPr>
        <w:spacing w:line="576" w:lineRule="exact"/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0AEADB">
      <w:pPr>
        <w:spacing w:line="576" w:lineRule="exact"/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5803C7">
      <w:pPr>
        <w:spacing w:line="576" w:lineRule="exact"/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4CCF65">
      <w:pPr>
        <w:spacing w:line="576" w:lineRule="exact"/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51A7E3C">
      <w:pPr>
        <w:spacing w:line="576" w:lineRule="exact"/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B2356D">
      <w:pPr>
        <w:spacing w:line="576" w:lineRule="exact"/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EFDC0E">
      <w:pPr>
        <w:spacing w:line="576" w:lineRule="exact"/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247" w:gutter="0"/>
      <w:pgNumType w:fmt="numberInDash" w:start="1"/>
      <w:cols w:space="0" w:num="1"/>
      <w:titlePg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5962971"/>
      <w:docPartObj>
        <w:docPartGallery w:val="autotext"/>
      </w:docPartObj>
    </w:sdtPr>
    <w:sdtEndPr>
      <w:rPr>
        <w:rFonts w:ascii="宋体" w:hAnsi="宋体" w:eastAsia="宋体"/>
        <w:color w:val="000000" w:themeColor="text1"/>
        <w:sz w:val="28"/>
        <w:szCs w:val="28"/>
        <w14:textFill>
          <w14:solidFill>
            <w14:schemeClr w14:val="tx1"/>
          </w14:solidFill>
        </w14:textFill>
      </w:rPr>
    </w:sdtEndPr>
    <w:sdtContent>
      <w:p w14:paraId="76364C75">
        <w:pPr>
          <w:pStyle w:val="5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宋体" w:hAnsi="宋体" w:eastAsia="宋体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instrText xml:space="preserve">PAGE   \* MERGEFORMAT</w:instrText>
        </w:r>
        <w:r>
          <w:rPr>
            <w:rFonts w:ascii="宋体" w:hAnsi="宋体" w:eastAsia="宋体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宋体" w:hAnsi="宋体" w:eastAsia="宋体"/>
            <w:color w:val="000000" w:themeColor="text1"/>
            <w:sz w:val="28"/>
            <w:szCs w:val="28"/>
            <w:lang w:val="zh-CN"/>
            <w14:textFill>
              <w14:solidFill>
                <w14:schemeClr w14:val="tx1"/>
              </w14:solidFill>
            </w14:textFill>
          </w:rPr>
          <w:t>2</w:t>
        </w:r>
        <w:r>
          <w:rPr>
            <w:rFonts w:ascii="宋体" w:hAnsi="宋体" w:eastAsia="宋体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9059549"/>
      <w:docPartObj>
        <w:docPartGallery w:val="autotext"/>
      </w:docPartObj>
    </w:sdtPr>
    <w:sdtEndPr>
      <w:rPr>
        <w:rFonts w:ascii="宋体" w:hAnsi="宋体" w:eastAsia="宋体"/>
        <w:color w:val="000000" w:themeColor="text1"/>
        <w:sz w:val="28"/>
        <w:szCs w:val="28"/>
        <w14:textFill>
          <w14:solidFill>
            <w14:schemeClr w14:val="tx1"/>
          </w14:solidFill>
        </w14:textFill>
      </w:rPr>
    </w:sdtEndPr>
    <w:sdtContent>
      <w:p w14:paraId="5468D96F">
        <w:pPr>
          <w:pStyle w:val="5"/>
          <w:rPr>
            <w:rFonts w:hint="eastAsia"/>
          </w:rPr>
        </w:pPr>
        <w:r>
          <w:rPr>
            <w:rFonts w:ascii="宋体" w:hAnsi="宋体" w:eastAsia="宋体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宋体" w:hAnsi="宋体" w:eastAsia="宋体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instrText xml:space="preserve">PAGE   \* MERGEFORMAT</w:instrText>
        </w:r>
        <w:r>
          <w:rPr>
            <w:rFonts w:ascii="宋体" w:hAnsi="宋体" w:eastAsia="宋体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宋体" w:hAnsi="宋体" w:eastAsia="宋体"/>
            <w:color w:val="000000" w:themeColor="text1"/>
            <w:sz w:val="28"/>
            <w:szCs w:val="28"/>
            <w:lang w:val="zh-CN"/>
            <w14:textFill>
              <w14:solidFill>
                <w14:schemeClr w14:val="tx1"/>
              </w14:solidFill>
            </w14:textFill>
          </w:rPr>
          <w:t>2</w:t>
        </w:r>
        <w:r>
          <w:rPr>
            <w:rFonts w:ascii="宋体" w:hAnsi="宋体" w:eastAsia="宋体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8D47B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062DA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13B9F">
    <w:pPr>
      <w:pStyle w:val="6"/>
      <w:pBdr>
        <w:bottom w:val="none" w:color="auto" w:sz="0" w:space="0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6F293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evenAndOddHeaders w:val="1"/>
  <w:drawingGridHorizontalSpacing w:val="105"/>
  <w:drawingGridVerticalSpacing w:val="164"/>
  <w:noPunctuationKerning w:val="1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NjdjYTY2ZDMxZTNiZDg4MzE5NTg3NjJmODEwMjEifQ=="/>
  </w:docVars>
  <w:rsids>
    <w:rsidRoot w:val="0037248B"/>
    <w:rsid w:val="000479A7"/>
    <w:rsid w:val="00107E72"/>
    <w:rsid w:val="00112EAA"/>
    <w:rsid w:val="00152D00"/>
    <w:rsid w:val="00285344"/>
    <w:rsid w:val="0037248B"/>
    <w:rsid w:val="003B35A0"/>
    <w:rsid w:val="0042135E"/>
    <w:rsid w:val="00501C20"/>
    <w:rsid w:val="006B6353"/>
    <w:rsid w:val="007C5B14"/>
    <w:rsid w:val="00831550"/>
    <w:rsid w:val="00857DBE"/>
    <w:rsid w:val="00901D60"/>
    <w:rsid w:val="00982430"/>
    <w:rsid w:val="00AC2B5B"/>
    <w:rsid w:val="00AE2C7E"/>
    <w:rsid w:val="00B84C06"/>
    <w:rsid w:val="00BB6110"/>
    <w:rsid w:val="00C17F70"/>
    <w:rsid w:val="00C5358E"/>
    <w:rsid w:val="00C623B6"/>
    <w:rsid w:val="00C70053"/>
    <w:rsid w:val="00C90520"/>
    <w:rsid w:val="00D06A04"/>
    <w:rsid w:val="00D37D37"/>
    <w:rsid w:val="00D46528"/>
    <w:rsid w:val="00E04F9E"/>
    <w:rsid w:val="00E52027"/>
    <w:rsid w:val="00F0325A"/>
    <w:rsid w:val="00F056DA"/>
    <w:rsid w:val="00F4455C"/>
    <w:rsid w:val="04FE51CE"/>
    <w:rsid w:val="09815DBF"/>
    <w:rsid w:val="0AB25CA4"/>
    <w:rsid w:val="0EC128E4"/>
    <w:rsid w:val="14BF50E5"/>
    <w:rsid w:val="24584E92"/>
    <w:rsid w:val="2F996E24"/>
    <w:rsid w:val="2FFE179C"/>
    <w:rsid w:val="32A04AC9"/>
    <w:rsid w:val="34770A1A"/>
    <w:rsid w:val="352D60EC"/>
    <w:rsid w:val="43344B2F"/>
    <w:rsid w:val="46E20889"/>
    <w:rsid w:val="4BF96BD7"/>
    <w:rsid w:val="4D1446C5"/>
    <w:rsid w:val="519D0A48"/>
    <w:rsid w:val="59667DA7"/>
    <w:rsid w:val="63F76BB5"/>
    <w:rsid w:val="677609B6"/>
    <w:rsid w:val="690243FF"/>
    <w:rsid w:val="6B662ADB"/>
    <w:rsid w:val="709E4B30"/>
    <w:rsid w:val="77747018"/>
    <w:rsid w:val="7A766A7D"/>
    <w:rsid w:val="7B650C5C"/>
    <w:rsid w:val="7BD80A09"/>
    <w:rsid w:val="7BE2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方正小标宋简体" w:hAnsi="方正小标宋简体" w:eastAsia="方正小标宋简体" w:cstheme="minorBidi"/>
      <w:color w:val="EE000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327" w:beforeLines="100" w:after="327" w:afterLines="100" w:line="740" w:lineRule="exact"/>
      <w:jc w:val="center"/>
    </w:pPr>
    <w:rPr>
      <w:rFonts w:cs="宋体"/>
      <w:kern w:val="0"/>
      <w:sz w:val="44"/>
      <w:szCs w:val="4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3">
    <w:name w:val="列表段落1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2474</Words>
  <Characters>2528</Characters>
  <Lines>55</Lines>
  <Paragraphs>11</Paragraphs>
  <TotalTime>219</TotalTime>
  <ScaleCrop>false</ScaleCrop>
  <LinksUpToDate>false</LinksUpToDate>
  <CharactersWithSpaces>2534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2019-10-16T07:47:00Z</dcterms:created>
  <dc:creator>微软用户</dc:creator>
  <cp:lastModifiedBy>心安</cp:lastModifiedBy>
  <cp:lastPrinted>2024-01-18T04:12:00Z</cp:lastPrinted>
  <dcterms:modified xsi:type="dcterms:W3CDTF">2026-03-19T08:55:26Z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D022D0E6A6A14C59A67446342028E5A2_13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