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68628">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eastAsia="zh-CN"/>
        </w:rPr>
        <w:t>湟中区</w:t>
      </w:r>
      <w:r>
        <w:rPr>
          <w:rFonts w:hint="eastAsia" w:ascii="方正小标宋简体" w:hAnsi="方正小标宋简体" w:eastAsia="方正小标宋简体" w:cs="方正小标宋简体"/>
          <w:bCs/>
          <w:sz w:val="44"/>
          <w:szCs w:val="44"/>
        </w:rPr>
        <w:t>应急管理局</w:t>
      </w:r>
    </w:p>
    <w:p w14:paraId="53428F48">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jc w:val="center"/>
        <w:textAlignment w:val="auto"/>
        <w:outlineLvl w:val="9"/>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2024年度法治政府建设情况报告</w:t>
      </w:r>
    </w:p>
    <w:p w14:paraId="101F39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仿宋_GB2312" w:hAnsi="仿宋_GB2312" w:eastAsia="仿宋_GB2312" w:cs="仿宋_GB2312"/>
          <w:kern w:val="0"/>
          <w:sz w:val="32"/>
          <w:szCs w:val="32"/>
          <w:lang w:val="en-US" w:eastAsia="zh-CN" w:bidi="ar"/>
        </w:rPr>
      </w:pPr>
    </w:p>
    <w:p w14:paraId="42274A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jc w:val="both"/>
        <w:textAlignment w:val="baseline"/>
        <w:rPr>
          <w:rFonts w:hint="eastAsia" w:ascii="黑体" w:hAnsi="黑体" w:eastAsia="黑体" w:cs="黑体"/>
          <w:b/>
          <w:kern w:val="2"/>
          <w:sz w:val="32"/>
          <w:szCs w:val="32"/>
          <w:lang w:val="en-US" w:eastAsia="zh-CN" w:bidi="ar-SA"/>
        </w:rPr>
      </w:pPr>
      <w:r>
        <w:rPr>
          <w:rFonts w:hint="eastAsia" w:ascii="仿宋_GB2312" w:hAnsi="仿宋_GB2312" w:eastAsia="仿宋_GB2312" w:cs="仿宋_GB2312"/>
          <w:kern w:val="0"/>
          <w:sz w:val="32"/>
          <w:szCs w:val="32"/>
          <w:lang w:val="en-US" w:eastAsia="zh-CN" w:bidi="ar"/>
        </w:rPr>
        <w:t>2024年，西宁市湟中区应急管理局法治建设工作在区委、区政府的正确领导下，在区司法局指导</w:t>
      </w:r>
      <w:r>
        <w:rPr>
          <w:rFonts w:hint="eastAsia" w:ascii="仿宋_GB2312" w:hAnsi="仿宋_GB2312" w:eastAsia="仿宋_GB2312" w:cs="仿宋_GB2312"/>
          <w:sz w:val="32"/>
          <w:szCs w:val="32"/>
          <w:lang w:val="en-US" w:eastAsia="zh-CN"/>
        </w:rPr>
        <w:t>下，深入贯彻落实习近平法治思想和党的二十大精神，严格按照全区年度法治政府建设工作要点相关要求，依法履职、严格执法、热情服务、不断推动法治政府建设全面提质增效，力促各项工作在法律法规的红线内开展，较好地完成了全年各项工作任务。现将有关情况总结汇报如下：</w:t>
      </w:r>
    </w:p>
    <w:p w14:paraId="65049A85">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一、推进法治政府建设的主要措施和成效</w:t>
      </w:r>
    </w:p>
    <w:p w14:paraId="543ACFC2">
      <w:pPr>
        <w:keepNext w:val="0"/>
        <w:keepLines w:val="0"/>
        <w:pageBreakBefore w:val="0"/>
        <w:widowControl w:val="0"/>
        <w:kinsoku/>
        <w:wordWrap/>
        <w:overflowPunct/>
        <w:topLinePunct w:val="0"/>
        <w:autoSpaceDE/>
        <w:autoSpaceDN/>
        <w:bidi w:val="0"/>
        <w:adjustRightInd/>
        <w:snapToGrid w:val="0"/>
        <w:spacing w:line="576" w:lineRule="exact"/>
        <w:ind w:right="0" w:rightChars="0" w:firstLine="640" w:firstLineChars="200"/>
        <w:jc w:val="both"/>
        <w:textAlignment w:val="auto"/>
        <w:outlineLvl w:val="9"/>
        <w:rPr>
          <w:rFonts w:hint="eastAsia"/>
          <w:lang w:eastAsia="zh-CN"/>
        </w:rPr>
      </w:pP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napToGrid w:val="0"/>
          <w:kern w:val="0"/>
          <w:sz w:val="32"/>
          <w:szCs w:val="32"/>
          <w:lang w:val="en-US" w:eastAsia="zh-CN"/>
        </w:rPr>
        <w:t>（一）坚持政治引领，把牢正确政治方向。</w:t>
      </w:r>
      <w:r>
        <w:rPr>
          <w:rFonts w:hint="eastAsia" w:ascii="仿宋_GB2312" w:hAnsi="仿宋_GB2312" w:eastAsia="仿宋_GB2312" w:cs="仿宋_GB2312"/>
          <w:kern w:val="0"/>
          <w:sz w:val="32"/>
          <w:szCs w:val="32"/>
          <w:lang w:val="en-US" w:eastAsia="zh-CN" w:bidi="ar"/>
        </w:rPr>
        <w:t>局领导班子成员，尤其是局党委主要负责人带动全局干部人员认真研读习近平新时代社会主义法治思想、习近平著作选读、《中华人民共和国安全生产法》《中华人民共和国行政处罚法》等著作思想、法律法规,推动领会其基本精神的基础,切实增强了贯彻执行的思想自觉和行动自觉。广泛深入宣传法治政府建设的主要内容和精神实质,带动全局学法守法用法,为推动应急法治建设营造了浓厚氛围。2024年以来,局主要负责人严格履行依法行政重要组织者、推动者和实践者的职责,充分发挥了统揽全局、协调各方的作用,督促领导班子其他成员和各科室负责人及全体执法人员依法办事。真正做到了带头学法、模范用法。局领导班子带头深入贯彻落实习近平总书记提出的“领导干部要做尊法学法守法用法的模范”讲话精神，严格践行法治政府建设要求，提高了广大领导干部职工依法行政工作和法治化工作水平,统筹推进了依法执政、依法行政、严格执法工作。局党委把法治建设纳入了本单位年度工作计划，及时研究解决有关重大问题，真正把法治建设工作落到了实处。</w:t>
      </w:r>
    </w:p>
    <w:p w14:paraId="0070F1C1">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napToGrid w:val="0"/>
          <w:kern w:val="0"/>
          <w:sz w:val="32"/>
          <w:szCs w:val="32"/>
          <w:lang w:val="en-US" w:eastAsia="zh-CN"/>
        </w:rPr>
        <w:t>（二）加强执法培训，提升执法水平。</w:t>
      </w:r>
      <w:r>
        <w:rPr>
          <w:rFonts w:hint="eastAsia" w:ascii="仿宋_GB2312" w:hAnsi="仿宋_GB2312" w:eastAsia="仿宋_GB2312" w:cs="仿宋_GB2312"/>
          <w:snapToGrid w:val="0"/>
          <w:kern w:val="0"/>
          <w:sz w:val="32"/>
          <w:szCs w:val="32"/>
        </w:rPr>
        <w:t>为切实提升</w:t>
      </w:r>
      <w:r>
        <w:rPr>
          <w:rFonts w:hint="eastAsia" w:ascii="仿宋_GB2312" w:hAnsi="仿宋_GB2312" w:eastAsia="仿宋_GB2312" w:cs="仿宋_GB2312"/>
          <w:snapToGrid w:val="0"/>
          <w:kern w:val="0"/>
          <w:sz w:val="32"/>
          <w:szCs w:val="32"/>
          <w:lang w:val="en-US" w:eastAsia="zh-CN"/>
        </w:rPr>
        <w:t>我局</w:t>
      </w:r>
      <w:r>
        <w:rPr>
          <w:rFonts w:hint="eastAsia" w:ascii="仿宋_GB2312" w:hAnsi="仿宋_GB2312" w:eastAsia="仿宋_GB2312" w:cs="仿宋_GB2312"/>
          <w:snapToGrid w:val="0"/>
          <w:kern w:val="0"/>
          <w:sz w:val="32"/>
          <w:szCs w:val="32"/>
        </w:rPr>
        <w:t>行政执法队伍</w:t>
      </w:r>
      <w:r>
        <w:rPr>
          <w:rFonts w:hint="eastAsia" w:ascii="仿宋_GB2312" w:hAnsi="仿宋_GB2312" w:eastAsia="仿宋_GB2312" w:cs="仿宋_GB2312"/>
          <w:snapToGrid w:val="0"/>
          <w:kern w:val="0"/>
          <w:sz w:val="32"/>
          <w:szCs w:val="32"/>
          <w:lang w:eastAsia="zh-CN"/>
        </w:rPr>
        <w:t>工作能力</w:t>
      </w:r>
      <w:r>
        <w:rPr>
          <w:rFonts w:hint="eastAsia" w:ascii="仿宋_GB2312" w:hAnsi="仿宋_GB2312" w:eastAsia="仿宋_GB2312" w:cs="仿宋_GB2312"/>
          <w:snapToGrid w:val="0"/>
          <w:kern w:val="0"/>
          <w:sz w:val="32"/>
          <w:szCs w:val="32"/>
        </w:rPr>
        <w:t>，我</w:t>
      </w:r>
      <w:r>
        <w:rPr>
          <w:rFonts w:hint="eastAsia" w:ascii="仿宋_GB2312" w:hAnsi="仿宋_GB2312" w:eastAsia="仿宋_GB2312" w:cs="仿宋_GB2312"/>
          <w:snapToGrid w:val="0"/>
          <w:kern w:val="0"/>
          <w:sz w:val="32"/>
          <w:szCs w:val="32"/>
          <w:lang w:eastAsia="zh-CN"/>
        </w:rPr>
        <w:t>局</w:t>
      </w:r>
      <w:r>
        <w:rPr>
          <w:rFonts w:hint="eastAsia" w:ascii="仿宋_GB2312" w:hAnsi="仿宋_GB2312" w:eastAsia="仿宋_GB2312" w:cs="仿宋_GB2312"/>
          <w:snapToGrid w:val="0"/>
          <w:kern w:val="0"/>
          <w:sz w:val="32"/>
          <w:szCs w:val="32"/>
          <w:lang w:val="en-US" w:eastAsia="zh-CN"/>
        </w:rPr>
        <w:t>工作人员</w:t>
      </w:r>
      <w:r>
        <w:rPr>
          <w:rFonts w:hint="eastAsia" w:ascii="仿宋_GB2312" w:hAnsi="仿宋_GB2312" w:eastAsia="仿宋_GB2312" w:cs="仿宋_GB2312"/>
          <w:snapToGrid w:val="0"/>
          <w:kern w:val="0"/>
          <w:sz w:val="32"/>
          <w:szCs w:val="32"/>
        </w:rPr>
        <w:t>积极</w:t>
      </w:r>
      <w:r>
        <w:rPr>
          <w:rFonts w:hint="eastAsia" w:ascii="仿宋_GB2312" w:hAnsi="仿宋_GB2312" w:eastAsia="仿宋_GB2312" w:cs="仿宋_GB2312"/>
          <w:snapToGrid w:val="0"/>
          <w:kern w:val="0"/>
          <w:sz w:val="32"/>
          <w:szCs w:val="32"/>
          <w:lang w:val="en-US" w:eastAsia="zh-CN"/>
        </w:rPr>
        <w:t>组织参加每周一</w:t>
      </w:r>
      <w:r>
        <w:rPr>
          <w:rFonts w:hint="eastAsia" w:ascii="仿宋_GB2312" w:hAnsi="仿宋_GB2312" w:eastAsia="仿宋_GB2312" w:cs="仿宋_GB2312"/>
          <w:snapToGrid w:val="0"/>
          <w:kern w:val="0"/>
          <w:sz w:val="32"/>
          <w:szCs w:val="32"/>
        </w:rPr>
        <w:t>全体</w:t>
      </w:r>
      <w:r>
        <w:rPr>
          <w:rFonts w:hint="eastAsia" w:ascii="仿宋_GB2312" w:hAnsi="仿宋_GB2312" w:eastAsia="仿宋_GB2312" w:cs="仿宋_GB2312"/>
          <w:snapToGrid w:val="0"/>
          <w:kern w:val="0"/>
          <w:sz w:val="32"/>
          <w:szCs w:val="32"/>
          <w:lang w:val="en-US" w:eastAsia="zh-CN"/>
        </w:rPr>
        <w:t>学习例会</w:t>
      </w:r>
      <w:r>
        <w:rPr>
          <w:rFonts w:hint="eastAsia" w:ascii="仿宋_GB2312" w:hAnsi="仿宋_GB2312" w:eastAsia="仿宋_GB2312" w:cs="仿宋_GB2312"/>
          <w:snapToGrid w:val="0"/>
          <w:kern w:val="0"/>
          <w:sz w:val="32"/>
          <w:szCs w:val="32"/>
        </w:rPr>
        <w:t>与培训，</w:t>
      </w:r>
      <w:r>
        <w:rPr>
          <w:rFonts w:hint="eastAsia" w:ascii="仿宋_GB2312" w:hAnsi="仿宋_GB2312" w:eastAsia="仿宋_GB2312" w:cs="仿宋_GB2312"/>
          <w:snapToGrid w:val="0"/>
          <w:kern w:val="0"/>
          <w:sz w:val="32"/>
          <w:szCs w:val="32"/>
          <w:lang w:val="en-US" w:eastAsia="zh-CN"/>
        </w:rPr>
        <w:t>同时</w:t>
      </w:r>
      <w:r>
        <w:rPr>
          <w:rFonts w:hint="eastAsia" w:ascii="仿宋_GB2312" w:hAnsi="仿宋_GB2312" w:eastAsia="仿宋_GB2312" w:cs="仿宋_GB2312"/>
          <w:snapToGrid w:val="0"/>
          <w:kern w:val="0"/>
          <w:sz w:val="32"/>
          <w:szCs w:val="32"/>
          <w:lang w:eastAsia="zh-CN"/>
        </w:rPr>
        <w:t>将《中华人民共和国安全生产法》《</w:t>
      </w:r>
      <w:r>
        <w:rPr>
          <w:rFonts w:hint="eastAsia" w:ascii="仿宋_GB2312" w:hAnsi="仿宋_GB2312" w:eastAsia="仿宋_GB2312" w:cs="仿宋_GB2312"/>
          <w:snapToGrid w:val="0"/>
          <w:kern w:val="0"/>
          <w:sz w:val="32"/>
          <w:szCs w:val="32"/>
          <w:lang w:val="en-US" w:eastAsia="zh-CN"/>
        </w:rPr>
        <w:t>安全生产违法行为行政处罚办法</w:t>
      </w:r>
      <w:r>
        <w:rPr>
          <w:rFonts w:hint="eastAsia" w:ascii="仿宋_GB2312" w:hAnsi="仿宋_GB2312" w:eastAsia="仿宋_GB2312" w:cs="仿宋_GB2312"/>
          <w:snapToGrid w:val="0"/>
          <w:kern w:val="0"/>
          <w:sz w:val="32"/>
          <w:szCs w:val="32"/>
          <w:lang w:eastAsia="zh-CN"/>
        </w:rPr>
        <w:t>》《生产安全事故报告和调查处理条例》《中华人民共和国行政复议法》等</w:t>
      </w:r>
      <w:r>
        <w:rPr>
          <w:rFonts w:hint="eastAsia" w:ascii="仿宋_GB2312" w:hAnsi="仿宋_GB2312" w:eastAsia="仿宋_GB2312" w:cs="仿宋_GB2312"/>
          <w:snapToGrid w:val="0"/>
          <w:kern w:val="0"/>
          <w:sz w:val="32"/>
          <w:szCs w:val="32"/>
        </w:rPr>
        <w:t>法律法规</w:t>
      </w:r>
      <w:r>
        <w:rPr>
          <w:rFonts w:hint="eastAsia" w:ascii="仿宋_GB2312" w:hAnsi="仿宋_GB2312" w:eastAsia="仿宋_GB2312" w:cs="仿宋_GB2312"/>
          <w:snapToGrid w:val="0"/>
          <w:kern w:val="0"/>
          <w:sz w:val="32"/>
          <w:szCs w:val="32"/>
          <w:lang w:eastAsia="zh-CN"/>
        </w:rPr>
        <w:t>作为学习重点，从企业现场出发、从真实案件出发，认真学习理论知识，并多次组织全局集体培训学习，</w:t>
      </w:r>
      <w:r>
        <w:rPr>
          <w:rFonts w:hint="eastAsia" w:ascii="仿宋_GB2312" w:hAnsi="仿宋_GB2312" w:eastAsia="仿宋_GB2312" w:cs="仿宋_GB2312"/>
          <w:snapToGrid w:val="0"/>
          <w:kern w:val="0"/>
          <w:sz w:val="32"/>
          <w:szCs w:val="32"/>
        </w:rPr>
        <w:t>不断增强</w:t>
      </w:r>
      <w:r>
        <w:rPr>
          <w:rFonts w:hint="eastAsia" w:ascii="仿宋_GB2312" w:hAnsi="仿宋_GB2312" w:eastAsia="仿宋_GB2312" w:cs="仿宋_GB2312"/>
          <w:snapToGrid w:val="0"/>
          <w:kern w:val="0"/>
          <w:sz w:val="32"/>
          <w:szCs w:val="32"/>
          <w:lang w:eastAsia="zh-CN"/>
        </w:rPr>
        <w:t>了</w:t>
      </w:r>
      <w:r>
        <w:rPr>
          <w:rFonts w:hint="eastAsia" w:ascii="仿宋_GB2312" w:hAnsi="仿宋_GB2312" w:eastAsia="仿宋_GB2312" w:cs="仿宋_GB2312"/>
          <w:snapToGrid w:val="0"/>
          <w:kern w:val="0"/>
          <w:sz w:val="32"/>
          <w:szCs w:val="32"/>
        </w:rPr>
        <w:t>行政执法人员</w:t>
      </w:r>
      <w:r>
        <w:rPr>
          <w:rFonts w:hint="eastAsia" w:ascii="仿宋_GB2312" w:hAnsi="仿宋_GB2312" w:eastAsia="仿宋_GB2312" w:cs="仿宋_GB2312"/>
          <w:snapToGrid w:val="0"/>
          <w:kern w:val="0"/>
          <w:sz w:val="32"/>
          <w:szCs w:val="32"/>
          <w:lang w:eastAsia="zh-CN"/>
        </w:rPr>
        <w:t>排查安全隐患和违法事项的专业能力</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CN"/>
        </w:rPr>
        <w:t>组织全局学员积极参加“青海法宣在线”系统进行学法用法，并监督完成学法积分和系统考试，努力加强公职人员法律法规学习。</w:t>
      </w:r>
    </w:p>
    <w:p w14:paraId="76B1EA69">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（三）聘请法律顾问，提高业务水平。</w:t>
      </w:r>
      <w:r>
        <w:rPr>
          <w:rFonts w:hint="eastAsia" w:ascii="仿宋_GB2312" w:hAnsi="仿宋_GB2312" w:eastAsia="仿宋_GB2312" w:cs="仿宋_GB2312"/>
          <w:snapToGrid w:val="0"/>
          <w:kern w:val="0"/>
          <w:sz w:val="32"/>
          <w:szCs w:val="32"/>
          <w:lang w:val="en-US" w:eastAsia="zh-CN"/>
        </w:rPr>
        <w:t>根据湟法委办〔2024〕3号《关于开展 2024年党政机关法律顾问聘任工作的通知》的要求，我局与北京大成（西宁）律师事务所签订长期法律顾问合同，并向区司法局备案，让法律顾问参与、指导、审查执法全过程，确保执法工作合法合规，律师事务所每年为我局提供不少于2次的依法行政、依法履职和行政执法的培训，切实提升执法人员专业水平。</w:t>
      </w:r>
    </w:p>
    <w:p w14:paraId="0181398F">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（四）</w:t>
      </w:r>
      <w:r>
        <w:rPr>
          <w:rFonts w:hint="eastAsia" w:ascii="楷体_GB2312" w:hAnsi="楷体_GB2312" w:eastAsia="楷体_GB2312" w:cs="楷体_GB2312"/>
          <w:b w:val="0"/>
          <w:bCs w:val="0"/>
          <w:sz w:val="32"/>
          <w:szCs w:val="32"/>
          <w:lang w:val="en-US" w:eastAsia="zh-CN"/>
        </w:rPr>
        <w:t>进一步优化政务服务。</w:t>
      </w:r>
      <w:r>
        <w:rPr>
          <w:rFonts w:hint="eastAsia" w:ascii="仿宋_GB2312" w:hAnsi="仿宋_GB2312" w:eastAsia="仿宋_GB2312" w:cs="仿宋_GB2312"/>
          <w:kern w:val="0"/>
          <w:sz w:val="32"/>
          <w:szCs w:val="32"/>
          <w:lang w:val="en-US" w:eastAsia="zh-CN" w:bidi="ar"/>
        </w:rPr>
        <w:t>针对《危险化学品经营许可证》以及《烟花爆竹安全许可证》等许可证办理，开展政务服务领域“三减”“最多跑一次”行动。对我局现有的政务服务事项论证压缩事项环节和周期，清理各类“奇葩证明”，“循环证明”，依法规范办事要素材料，最大限度地减少办件材料和办事流程。</w:t>
      </w:r>
    </w:p>
    <w:p w14:paraId="13D2B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（五）日常执法检查。</w:t>
      </w:r>
      <w:r>
        <w:rPr>
          <w:rFonts w:hint="eastAsia" w:ascii="仿宋_GB2312" w:hAnsi="仿宋_GB2312" w:eastAsia="仿宋_GB2312" w:cs="仿宋_GB2312"/>
          <w:sz w:val="32"/>
          <w:szCs w:val="32"/>
          <w:lang w:val="en-US" w:eastAsia="zh-CN"/>
        </w:rPr>
        <w:t>今年以来，</w:t>
      </w:r>
      <w:r>
        <w:rPr>
          <w:rFonts w:hint="eastAsia" w:ascii="仿宋_GB2312" w:hAnsi="仿宋_GB2312" w:eastAsia="仿宋_GB2312" w:cs="仿宋_GB2312"/>
          <w:sz w:val="32"/>
          <w:szCs w:val="32"/>
        </w:rPr>
        <w:t>我局执法检查企业</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家（次），其中邀请专家检查</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家，发现</w:t>
      </w:r>
      <w:r>
        <w:rPr>
          <w:rFonts w:hint="eastAsia" w:ascii="仿宋_GB2312" w:hAnsi="仿宋_GB2312" w:eastAsia="仿宋_GB2312" w:cs="仿宋_GB2312"/>
          <w:sz w:val="32"/>
          <w:szCs w:val="32"/>
          <w:lang w:val="en-US" w:eastAsia="zh-CN"/>
        </w:rPr>
        <w:t>并整改</w:t>
      </w:r>
      <w:r>
        <w:rPr>
          <w:rFonts w:hint="eastAsia" w:ascii="仿宋_GB2312" w:hAnsi="仿宋_GB2312" w:eastAsia="仿宋_GB2312" w:cs="仿宋_GB2312"/>
          <w:sz w:val="32"/>
          <w:szCs w:val="32"/>
        </w:rPr>
        <w:t>各类问题隐患</w:t>
      </w:r>
      <w:r>
        <w:rPr>
          <w:rFonts w:hint="eastAsia" w:ascii="Times New Roman" w:hAnsi="Times New Roman" w:eastAsia="仿宋_GB2312" w:cs="Times New Roman"/>
          <w:spacing w:val="0"/>
          <w:sz w:val="32"/>
          <w:szCs w:val="32"/>
          <w:lang w:val="en-US" w:eastAsia="zh-CN"/>
        </w:rPr>
        <w:t>1144</w:t>
      </w:r>
      <w:r>
        <w:rPr>
          <w:rFonts w:hint="eastAsia" w:ascii="仿宋_GB2312" w:hAnsi="仿宋_GB2312" w:eastAsia="仿宋_GB2312" w:cs="仿宋_GB2312"/>
          <w:sz w:val="32"/>
          <w:szCs w:val="32"/>
        </w:rPr>
        <w:t>项，整改率达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认真开展危化行业安全风险隐患排查治理，检查我区危化企业和烟花爆竹门店共</w:t>
      </w:r>
      <w:r>
        <w:rPr>
          <w:rFonts w:hint="eastAsia" w:ascii="仿宋_GB2312" w:hAnsi="仿宋_GB2312" w:eastAsia="仿宋_GB2312" w:cs="仿宋_GB2312"/>
          <w:snapToGrid w:val="0"/>
          <w:kern w:val="0"/>
          <w:sz w:val="32"/>
          <w:szCs w:val="32"/>
          <w:lang w:val="en-US" w:eastAsia="zh-CN"/>
        </w:rPr>
        <w:t>141</w:t>
      </w:r>
      <w:r>
        <w:rPr>
          <w:rFonts w:hint="eastAsia" w:ascii="仿宋_GB2312" w:hAnsi="仿宋_GB2312" w:eastAsia="仿宋_GB2312" w:cs="仿宋_GB2312"/>
          <w:snapToGrid w:val="0"/>
          <w:kern w:val="0"/>
          <w:sz w:val="32"/>
          <w:szCs w:val="32"/>
        </w:rPr>
        <w:t>家，共排查</w:t>
      </w:r>
      <w:r>
        <w:rPr>
          <w:rFonts w:hint="eastAsia" w:ascii="仿宋_GB2312" w:hAnsi="仿宋_GB2312" w:eastAsia="仿宋_GB2312" w:cs="仿宋_GB2312"/>
          <w:snapToGrid w:val="0"/>
          <w:kern w:val="0"/>
          <w:sz w:val="32"/>
          <w:szCs w:val="32"/>
          <w:lang w:val="en-US" w:eastAsia="zh-CN"/>
        </w:rPr>
        <w:t>整改</w:t>
      </w:r>
      <w:r>
        <w:rPr>
          <w:rFonts w:hint="eastAsia" w:ascii="仿宋_GB2312" w:hAnsi="仿宋_GB2312" w:eastAsia="仿宋_GB2312" w:cs="仿宋_GB2312"/>
          <w:snapToGrid w:val="0"/>
          <w:kern w:val="0"/>
          <w:sz w:val="32"/>
          <w:szCs w:val="32"/>
        </w:rPr>
        <w:t>问题</w:t>
      </w:r>
      <w:r>
        <w:rPr>
          <w:rFonts w:hint="eastAsia" w:ascii="Times New Roman" w:hAnsi="Times New Roman" w:eastAsia="仿宋_GB2312" w:cs="Times New Roman"/>
          <w:spacing w:val="0"/>
          <w:sz w:val="32"/>
          <w:szCs w:val="32"/>
          <w:lang w:val="en-US" w:eastAsia="zh-CN"/>
        </w:rPr>
        <w:t>434</w:t>
      </w:r>
      <w:r>
        <w:rPr>
          <w:rFonts w:hint="eastAsia" w:ascii="仿宋_GB2312" w:hAnsi="仿宋_GB2312" w:eastAsia="仿宋_GB2312" w:cs="仿宋_GB2312"/>
          <w:snapToGrid w:val="0"/>
          <w:kern w:val="0"/>
          <w:sz w:val="32"/>
          <w:szCs w:val="32"/>
        </w:rPr>
        <w:t>项，</w:t>
      </w:r>
      <w:r>
        <w:rPr>
          <w:rFonts w:hint="default" w:ascii="Times New Roman" w:hAnsi="Times New Roman" w:eastAsia="仿宋_GB2312" w:cs="Times New Roman"/>
          <w:spacing w:val="0"/>
          <w:sz w:val="32"/>
          <w:szCs w:val="32"/>
          <w:lang w:val="en-US" w:eastAsia="zh-CN"/>
        </w:rPr>
        <w:t>整改率100%</w:t>
      </w:r>
      <w:r>
        <w:rPr>
          <w:rFonts w:hint="eastAsia" w:ascii="Times New Roman" w:hAnsi="Times New Roman" w:eastAsia="仿宋_GB2312" w:cs="Times New Roman"/>
          <w:spacing w:val="0"/>
          <w:sz w:val="32"/>
          <w:szCs w:val="32"/>
          <w:lang w:val="en-US" w:eastAsia="zh-CN"/>
        </w:rPr>
        <w:t>，</w:t>
      </w:r>
      <w:r>
        <w:rPr>
          <w:rFonts w:hint="eastAsia" w:ascii="仿宋_GB2312" w:hAnsi="仿宋_GB2312" w:eastAsia="仿宋_GB2312" w:cs="仿宋_GB2312"/>
          <w:sz w:val="32"/>
          <w:szCs w:val="32"/>
          <w:lang w:val="en-US" w:eastAsia="zh-CN"/>
        </w:rPr>
        <w:t>组织和参与区市场监管领域部门“双随机、一公开”抽查检查21家。</w:t>
      </w:r>
    </w:p>
    <w:p w14:paraId="2261F9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rPr>
        <w:t>（六）行政处罚。</w:t>
      </w:r>
      <w:r>
        <w:rPr>
          <w:rFonts w:hint="eastAsia" w:ascii="仿宋_GB2312" w:hAnsi="仿宋_GB2312" w:eastAsia="仿宋_GB2312" w:cs="仿宋_GB2312"/>
          <w:sz w:val="32"/>
          <w:szCs w:val="32"/>
          <w:lang w:val="en-US" w:eastAsia="zh-CN"/>
        </w:rPr>
        <w:t>今年我局共立案55起，其中事前处罚立案45起，事后处罚</w:t>
      </w:r>
      <w:r>
        <w:rPr>
          <w:rFonts w:hint="eastAsia" w:ascii="仿宋_GB2312" w:hAnsi="仿宋_GB2312" w:eastAsia="仿宋_GB2312" w:cs="仿宋_GB2312"/>
          <w:snapToGrid w:val="0"/>
          <w:kern w:val="0"/>
          <w:sz w:val="32"/>
          <w:szCs w:val="32"/>
          <w:lang w:val="en-US" w:eastAsia="zh-CN"/>
        </w:rPr>
        <w:t>立案10起</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lang w:val="en-US" w:eastAsia="zh-CN"/>
        </w:rPr>
        <w:t>按照行刑衔接的要求移送行政案件1起；</w:t>
      </w:r>
      <w:r>
        <w:rPr>
          <w:rFonts w:hint="eastAsia" w:ascii="仿宋_GB2312" w:hAnsi="仿宋_GB2312" w:eastAsia="仿宋_GB2312" w:cs="仿宋_GB2312"/>
          <w:sz w:val="32"/>
          <w:szCs w:val="32"/>
          <w:lang w:eastAsia="zh-CN"/>
        </w:rPr>
        <w:t>对行政处罚典型案例企业整改情况回访检查</w:t>
      </w:r>
      <w:r>
        <w:rPr>
          <w:rFonts w:hint="eastAsia" w:ascii="仿宋_GB2312" w:hAnsi="仿宋_GB2312" w:eastAsia="仿宋_GB2312" w:cs="仿宋_GB2312"/>
          <w:sz w:val="32"/>
          <w:szCs w:val="32"/>
          <w:lang w:val="en-US" w:eastAsia="zh-CN"/>
        </w:rPr>
        <w:t>16家，并填写《湟中区安全生产行政执法情况回访表》16份</w:t>
      </w:r>
      <w:r>
        <w:rPr>
          <w:rFonts w:hint="eastAsia" w:ascii="仿宋_GB2312" w:hAnsi="仿宋_GB2312" w:eastAsia="仿宋_GB2312" w:cs="仿宋_GB2312"/>
          <w:snapToGrid w:val="0"/>
          <w:kern w:val="0"/>
          <w:sz w:val="32"/>
          <w:szCs w:val="32"/>
          <w:lang w:eastAsia="zh-CN"/>
        </w:rPr>
        <w:t>；组织企业主要负责人</w:t>
      </w:r>
      <w:r>
        <w:rPr>
          <w:rFonts w:hint="eastAsia" w:ascii="仿宋_GB2312" w:hAnsi="仿宋_GB2312" w:eastAsia="仿宋_GB2312" w:cs="仿宋_GB2312"/>
          <w:snapToGrid w:val="0"/>
          <w:kern w:val="0"/>
          <w:sz w:val="32"/>
          <w:szCs w:val="32"/>
          <w:lang w:val="en-US" w:eastAsia="zh-CN"/>
        </w:rPr>
        <w:t>进行</w:t>
      </w:r>
      <w:r>
        <w:rPr>
          <w:rFonts w:hint="eastAsia" w:ascii="仿宋_GB2312" w:hAnsi="仿宋_GB2312" w:eastAsia="仿宋_GB2312" w:cs="仿宋_GB2312"/>
          <w:snapToGrid w:val="0"/>
          <w:kern w:val="0"/>
          <w:sz w:val="32"/>
          <w:szCs w:val="32"/>
          <w:lang w:eastAsia="zh-CN"/>
        </w:rPr>
        <w:t>安全生产警示单独约谈</w:t>
      </w:r>
      <w:r>
        <w:rPr>
          <w:rFonts w:hint="eastAsia" w:ascii="仿宋_GB2312" w:hAnsi="仿宋_GB2312" w:eastAsia="仿宋_GB2312" w:cs="仿宋_GB2312"/>
          <w:snapToGrid w:val="0"/>
          <w:kern w:val="0"/>
          <w:sz w:val="32"/>
          <w:szCs w:val="32"/>
          <w:lang w:val="en-US" w:eastAsia="zh-CN"/>
        </w:rPr>
        <w:t>7次，工贸行业集体警示约谈1次</w:t>
      </w:r>
      <w:r>
        <w:rPr>
          <w:rFonts w:hint="eastAsia" w:ascii="仿宋_GB2312" w:hAnsi="仿宋_GB2312" w:eastAsia="仿宋_GB2312" w:cs="仿宋_GB2312"/>
          <w:sz w:val="32"/>
          <w:szCs w:val="32"/>
          <w:lang w:val="en-US" w:eastAsia="zh-CN"/>
        </w:rPr>
        <w:t>。</w:t>
      </w:r>
    </w:p>
    <w:p w14:paraId="12D43D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val="0"/>
          <w:kern w:val="0"/>
          <w:sz w:val="32"/>
          <w:szCs w:val="32"/>
          <w:lang w:val="en-US" w:eastAsia="zh-CN" w:bidi="ar-SA"/>
        </w:rPr>
        <w:t>（七）积极履职尽责，做好复议、应诉工作。</w:t>
      </w:r>
      <w:r>
        <w:rPr>
          <w:rFonts w:hint="eastAsia" w:ascii="仿宋_GB2312" w:hAnsi="仿宋_GB2312" w:eastAsia="仿宋_GB2312" w:cs="仿宋_GB2312"/>
          <w:sz w:val="32"/>
          <w:szCs w:val="32"/>
          <w:lang w:eastAsia="zh-CN"/>
        </w:rPr>
        <w:t>建立和完善行政机关负责人出庭应诉工作机制，实现行政机关负责人出庭应诉率达100%，依法依规有效化解社会矛盾。</w:t>
      </w:r>
    </w:p>
    <w:p w14:paraId="3B975D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5"/>
        <w:jc w:val="both"/>
        <w:textAlignment w:val="baseline"/>
        <w:rPr>
          <w:rFonts w:hint="eastAsia" w:ascii="仿宋_GB2312" w:hAnsi="仿宋_GB2312" w:eastAsia="仿宋_GB2312" w:cs="仿宋_GB2312"/>
          <w:b w:val="0"/>
          <w:bCs/>
          <w:color w:val="000000"/>
          <w:kern w:val="2"/>
          <w:sz w:val="32"/>
          <w:szCs w:val="21"/>
          <w:u w:val="none"/>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（八）常态化开展行政执法案卷评查。</w:t>
      </w:r>
      <w:r>
        <w:rPr>
          <w:rFonts w:hint="eastAsia" w:ascii="仿宋_GB2312" w:hAnsi="仿宋_GB2312" w:eastAsia="仿宋_GB2312" w:cs="仿宋_GB2312"/>
          <w:b w:val="0"/>
          <w:bCs/>
          <w:color w:val="000000"/>
          <w:kern w:val="2"/>
          <w:sz w:val="32"/>
          <w:szCs w:val="21"/>
          <w:u w:val="none"/>
          <w:lang w:val="en-US" w:eastAsia="zh-CN" w:bidi="ar-SA"/>
        </w:rPr>
        <w:t>为进一步规范行政执法行为，提高行政执法案件办理质量和水平，坚决做到行政执法案卷零失误，以西宁市提升行政执法质量三年行动为契机，我局对2024年已办结的所有行政处罚案卷进行自查自纠、互查互评、集中评查，对标对表查找处罚案卷中存在的问题和不足，及时更正，做到法律依据准确、文书填写规范、程序正当、处罚裁量适当，进一步提高行政执法办案水平。</w:t>
      </w:r>
    </w:p>
    <w:p w14:paraId="30687D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napToGrid w:val="0"/>
          <w:kern w:val="0"/>
          <w:sz w:val="32"/>
          <w:szCs w:val="32"/>
          <w:lang w:val="en-US" w:eastAsia="zh-CN"/>
        </w:rPr>
      </w:pPr>
      <w:r>
        <w:rPr>
          <w:rFonts w:hint="default" w:ascii="楷体_GB2312" w:hAnsi="楷体_GB2312" w:eastAsia="楷体_GB2312" w:cs="楷体_GB2312"/>
          <w:b w:val="0"/>
          <w:bCs w:val="0"/>
          <w:snapToGrid w:val="0"/>
          <w:kern w:val="0"/>
          <w:sz w:val="32"/>
          <w:szCs w:val="32"/>
          <w:lang w:val="en-US" w:eastAsia="zh-CN" w:bidi="ar-SA"/>
        </w:rPr>
        <w:t>（</w:t>
      </w:r>
      <w:r>
        <w:rPr>
          <w:rFonts w:hint="eastAsia" w:ascii="楷体_GB2312" w:hAnsi="楷体_GB2312" w:eastAsia="楷体_GB2312" w:cs="楷体_GB2312"/>
          <w:b w:val="0"/>
          <w:bCs w:val="0"/>
          <w:snapToGrid w:val="0"/>
          <w:kern w:val="0"/>
          <w:sz w:val="32"/>
          <w:szCs w:val="32"/>
          <w:lang w:val="en-US" w:eastAsia="zh-CN" w:bidi="ar-SA"/>
        </w:rPr>
        <w:t>九</w:t>
      </w:r>
      <w:r>
        <w:rPr>
          <w:rFonts w:hint="default" w:ascii="楷体_GB2312" w:hAnsi="楷体_GB2312" w:eastAsia="楷体_GB2312" w:cs="楷体_GB2312"/>
          <w:b w:val="0"/>
          <w:bCs w:val="0"/>
          <w:snapToGrid w:val="0"/>
          <w:kern w:val="0"/>
          <w:sz w:val="32"/>
          <w:szCs w:val="32"/>
          <w:lang w:val="en-US" w:eastAsia="zh-CN" w:bidi="ar-SA"/>
        </w:rPr>
        <w:t>）</w:t>
      </w:r>
      <w:r>
        <w:rPr>
          <w:rFonts w:hint="eastAsia" w:ascii="楷体_GB2312" w:hAnsi="楷体_GB2312" w:eastAsia="楷体_GB2312" w:cs="楷体_GB2312"/>
          <w:b w:val="0"/>
          <w:bCs w:val="0"/>
          <w:snapToGrid w:val="0"/>
          <w:kern w:val="0"/>
          <w:sz w:val="32"/>
          <w:szCs w:val="32"/>
          <w:lang w:val="en-US" w:eastAsia="zh-CN" w:bidi="ar-SA"/>
        </w:rPr>
        <w:t>开展群众性法治文化活动。</w:t>
      </w:r>
      <w:r>
        <w:rPr>
          <w:rFonts w:hint="eastAsia" w:ascii="仿宋_GB2312" w:hAnsi="仿宋_GB2312" w:eastAsia="仿宋_GB2312" w:cs="仿宋_GB2312"/>
          <w:sz w:val="32"/>
          <w:szCs w:val="32"/>
          <w:lang w:val="en-US" w:eastAsia="zh-CN"/>
        </w:rPr>
        <w:t>制定《西宁市湟中区应急管理局2</w:t>
      </w:r>
      <w:r>
        <w:rPr>
          <w:rFonts w:hint="eastAsia" w:ascii="仿宋_GB2312" w:hAnsi="仿宋_GB2312" w:eastAsia="仿宋_GB2312" w:cs="仿宋_GB2312"/>
          <w:snapToGrid w:val="0"/>
          <w:kern w:val="0"/>
          <w:sz w:val="32"/>
          <w:szCs w:val="32"/>
          <w:lang w:val="en-US" w:eastAsia="zh-CN" w:bidi="ar-SA"/>
        </w:rPr>
        <w:t>024年普法工作计划》，落实“谁执法谁普法”“谁服务谁普法”“谁管理谁普法”普法责任制，在“5.12”防灾减灾日、安全生产月、民法典宣传周等重要时间节点</w:t>
      </w:r>
      <w:r>
        <w:rPr>
          <w:rFonts w:hint="default" w:ascii="仿宋_GB2312" w:hAnsi="仿宋_GB2312" w:eastAsia="仿宋_GB2312" w:cs="仿宋_GB2312"/>
          <w:snapToGrid w:val="0"/>
          <w:kern w:val="0"/>
          <w:sz w:val="32"/>
          <w:szCs w:val="32"/>
          <w:lang w:val="en-US" w:eastAsia="zh-CN" w:bidi="ar-SA"/>
        </w:rPr>
        <w:t>，将普法工作与日常监管执法</w:t>
      </w:r>
      <w:r>
        <w:rPr>
          <w:rFonts w:hint="eastAsia" w:ascii="仿宋_GB2312" w:hAnsi="仿宋_GB2312" w:eastAsia="仿宋_GB2312" w:cs="仿宋_GB2312"/>
          <w:snapToGrid w:val="0"/>
          <w:kern w:val="0"/>
          <w:sz w:val="32"/>
          <w:szCs w:val="32"/>
          <w:lang w:val="en-US" w:eastAsia="zh-CN" w:bidi="ar-SA"/>
        </w:rPr>
        <w:t>和</w:t>
      </w:r>
      <w:r>
        <w:rPr>
          <w:rFonts w:hint="default" w:ascii="仿宋_GB2312" w:hAnsi="仿宋_GB2312" w:eastAsia="仿宋_GB2312" w:cs="仿宋_GB2312"/>
          <w:snapToGrid w:val="0"/>
          <w:kern w:val="0"/>
          <w:sz w:val="32"/>
          <w:szCs w:val="32"/>
          <w:lang w:val="en-US" w:eastAsia="zh-CN" w:bidi="ar-SA"/>
        </w:rPr>
        <w:t>事故调查处理相结合，</w:t>
      </w:r>
      <w:r>
        <w:rPr>
          <w:rFonts w:hint="eastAsia" w:ascii="仿宋_GB2312" w:hAnsi="仿宋_GB2312" w:eastAsia="仿宋_GB2312" w:cs="仿宋_GB2312"/>
          <w:snapToGrid w:val="0"/>
          <w:kern w:val="0"/>
          <w:sz w:val="32"/>
          <w:szCs w:val="32"/>
          <w:lang w:val="en-US" w:eastAsia="zh-CN" w:bidi="ar-SA"/>
        </w:rPr>
        <w:t>深入企业普法宣传53家，组织集中普法宣传2次，</w:t>
      </w:r>
      <w:r>
        <w:rPr>
          <w:rFonts w:hint="default" w:ascii="仿宋_GB2312" w:hAnsi="仿宋_GB2312" w:eastAsia="仿宋_GB2312" w:cs="仿宋_GB2312"/>
          <w:snapToGrid w:val="0"/>
          <w:kern w:val="0"/>
          <w:sz w:val="32"/>
          <w:szCs w:val="32"/>
          <w:lang w:val="en-US" w:eastAsia="zh-CN" w:bidi="ar-SA"/>
        </w:rPr>
        <w:t>加强与企业面对面沟通交流，</w:t>
      </w:r>
      <w:r>
        <w:rPr>
          <w:rFonts w:hint="eastAsia" w:ascii="仿宋_GB2312" w:hAnsi="仿宋_GB2312" w:eastAsia="仿宋_GB2312" w:cs="仿宋_GB2312"/>
          <w:snapToGrid w:val="0"/>
          <w:kern w:val="0"/>
          <w:sz w:val="32"/>
          <w:szCs w:val="32"/>
          <w:lang w:val="en-US" w:eastAsia="zh-CN" w:bidi="ar-SA"/>
        </w:rPr>
        <w:t>增强</w:t>
      </w:r>
      <w:r>
        <w:rPr>
          <w:rFonts w:hint="default" w:ascii="仿宋_GB2312" w:hAnsi="仿宋_GB2312" w:eastAsia="仿宋_GB2312" w:cs="仿宋_GB2312"/>
          <w:snapToGrid w:val="0"/>
          <w:kern w:val="0"/>
          <w:sz w:val="32"/>
          <w:szCs w:val="32"/>
          <w:lang w:val="en-US" w:eastAsia="zh-CN" w:bidi="ar-SA"/>
        </w:rPr>
        <w:t>企业尊法守法意识，实现执法与普法并重，整改与提升并行。</w:t>
      </w:r>
    </w:p>
    <w:p w14:paraId="76574B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sz w:val="32"/>
          <w:szCs w:val="32"/>
          <w:lang w:val="en-US" w:eastAsia="zh-CN"/>
        </w:rPr>
        <w:t>二、</w:t>
      </w:r>
      <w:r>
        <w:rPr>
          <w:rFonts w:hint="eastAsia" w:ascii="黑体" w:hAnsi="黑体" w:eastAsia="黑体" w:cs="黑体"/>
          <w:b w:val="0"/>
          <w:bCs/>
          <w:kern w:val="2"/>
          <w:sz w:val="32"/>
          <w:szCs w:val="32"/>
          <w:lang w:val="en-US" w:eastAsia="zh-CN" w:bidi="ar-SA"/>
        </w:rPr>
        <w:t>党政主要负责人履行推进法治建设第一责任人职责加强法治政府建设的有关情况</w:t>
      </w:r>
    </w:p>
    <w:p w14:paraId="7020B3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napToGrid w:val="0"/>
          <w:kern w:val="0"/>
          <w:sz w:val="32"/>
          <w:szCs w:val="32"/>
          <w:lang w:val="en-US" w:eastAsia="zh-CN" w:bidi="ar-SA"/>
        </w:rPr>
        <w:t>我局党委书记、局长作为推进依法行政第一责任人，用法治思维和法治方式统筹应急管理、安全生产、防灾减灾救灾工作，统一领导全局依法行政工作，不断加强法治政府建设工作的组织领导，始终把全面推进依法行政、加强法治政府建设摆在全局工作突出的位置，及时研究解决法治政府建设有关重大问题，为推进法治建设提供保障、创造条件；严格执行重大行政决策法定程序，全面推进政务公开；依法全面履行政府职能，推进行政执法责任制落实，组织制定执法监督检查计划、行政执法三项制度实施方案，严格规范公正文明执法，将工作任务分解到个人，切实提高应急管理依法治理能力和水平。</w:t>
      </w:r>
    </w:p>
    <w:p w14:paraId="1A1C17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eastAsia" w:ascii="楷体_GB2312" w:hAnsi="楷体_GB2312" w:eastAsia="楷体_GB2312" w:cs="楷体_GB2312"/>
          <w:b/>
          <w:bCs/>
          <w:sz w:val="32"/>
          <w:szCs w:val="32"/>
          <w:lang w:val="en-US" w:eastAsia="zh-CN"/>
        </w:rPr>
        <w:t>（二）</w:t>
      </w:r>
      <w:r>
        <w:rPr>
          <w:rFonts w:hint="eastAsia" w:ascii="仿宋_GB2312" w:hAnsi="仿宋_GB2312" w:eastAsia="仿宋_GB2312" w:cs="仿宋_GB2312"/>
          <w:snapToGrid w:val="0"/>
          <w:kern w:val="0"/>
          <w:sz w:val="32"/>
          <w:szCs w:val="32"/>
          <w:lang w:val="en-US" w:eastAsia="zh-CN" w:bidi="ar-SA"/>
        </w:rPr>
        <w:t>督促领导班子其他成员依法行政，开展排查纠治执法不公、选择性执法、随意性执法工作；充分利用“安全生产月”“国家安全日”“5·12”防灾减灾日、“12·4”国家宪法日、法律“七进”等活动，大力宣传《中华人民共和国安全生产法》等法律法规，贯彻落实“八五”普法规划，加强对应急管理执法、普法工作的指导，把执法办案与法治宣传相结合，把法治宣传融入监管执法和服务的各个环节，加强安全生产知识培训，推动落实“谁执法谁普法”责任。</w:t>
      </w:r>
    </w:p>
    <w:p w14:paraId="6ADA68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eastAsia" w:ascii="楷体_GB2312" w:hAnsi="楷体_GB2312" w:eastAsia="楷体_GB2312" w:cs="楷体_GB2312"/>
          <w:b/>
          <w:bCs/>
          <w:sz w:val="32"/>
          <w:szCs w:val="32"/>
          <w:lang w:val="en-US" w:eastAsia="zh-CN"/>
        </w:rPr>
        <w:t>（三）</w:t>
      </w:r>
      <w:r>
        <w:rPr>
          <w:rFonts w:hint="eastAsia" w:ascii="仿宋_GB2312" w:hAnsi="仿宋_GB2312" w:eastAsia="仿宋_GB2312" w:cs="仿宋_GB2312"/>
          <w:snapToGrid w:val="0"/>
          <w:kern w:val="0"/>
          <w:sz w:val="32"/>
          <w:szCs w:val="32"/>
          <w:lang w:val="en-US" w:eastAsia="zh-CN" w:bidi="ar-SA"/>
        </w:rPr>
        <w:t>加强个人学习、提高法律素养，坚持把政治理论和业务知识学习作为提高理想信念、思想素质、工作能力的重要途径之一，认真学习《党政主要负责人履行推进法治建设第一责任人职责规定》等中央、省、市关于法治政府建设各项决策部署、《中华人民共和国安全生产法》等行业法律法规,《中国共产党廉洁自律准则》等党纪党规，带头尊崇法治、敬畏法律，自觉遵纪守法，始终做到严格自律，时刻以规则法律、德行准绳为标尺，自我警醒、自我约束和自我克制。</w:t>
      </w:r>
    </w:p>
    <w:p w14:paraId="0A80D6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kern w:val="2"/>
          <w:sz w:val="32"/>
          <w:szCs w:val="32"/>
          <w:lang w:val="en-US" w:eastAsia="zh-CN" w:bidi="ar-SA"/>
        </w:rPr>
        <w:t>法治政府建设存在不足和原因</w:t>
      </w:r>
    </w:p>
    <w:p w14:paraId="21E83A1C">
      <w:pPr>
        <w:keepNext w:val="0"/>
        <w:keepLines w:val="0"/>
        <w:pageBreakBefore w:val="0"/>
        <w:widowControl w:val="0"/>
        <w:kinsoku/>
        <w:wordWrap/>
        <w:overflowPunct/>
        <w:topLinePunct w:val="0"/>
        <w:autoSpaceDE/>
        <w:autoSpaceDN/>
        <w:bidi w:val="0"/>
        <w:adjustRightInd/>
        <w:snapToGrid w:val="0"/>
        <w:spacing w:line="576"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z w:val="32"/>
          <w:szCs w:val="32"/>
          <w:lang w:val="en-US" w:eastAsia="zh-CN"/>
        </w:rPr>
        <w:t>全区工贸、危化等企业数量较大，我局</w:t>
      </w:r>
      <w:r>
        <w:rPr>
          <w:rFonts w:hint="default" w:ascii="仿宋_GB2312" w:hAnsi="仿宋_GB2312" w:eastAsia="仿宋_GB2312" w:cs="仿宋_GB2312"/>
          <w:sz w:val="32"/>
          <w:szCs w:val="32"/>
          <w:lang w:val="en-US" w:eastAsia="zh-CN"/>
        </w:rPr>
        <w:t>持证</w:t>
      </w:r>
      <w:r>
        <w:rPr>
          <w:rFonts w:hint="eastAsia" w:ascii="仿宋_GB2312" w:hAnsi="仿宋_GB2312" w:eastAsia="仿宋_GB2312" w:cs="仿宋_GB2312"/>
          <w:sz w:val="32"/>
          <w:szCs w:val="32"/>
          <w:lang w:val="en-US" w:eastAsia="zh-CN"/>
        </w:rPr>
        <w:t>且参与执法工作</w:t>
      </w:r>
      <w:r>
        <w:rPr>
          <w:rFonts w:hint="default"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en-US" w:eastAsia="zh-CN"/>
        </w:rPr>
        <w:t>仅有2人，</w:t>
      </w:r>
      <w:r>
        <w:rPr>
          <w:rFonts w:hint="default" w:ascii="仿宋_GB2312" w:hAnsi="仿宋_GB2312" w:eastAsia="仿宋_GB2312" w:cs="仿宋_GB2312"/>
          <w:sz w:val="32"/>
          <w:szCs w:val="32"/>
          <w:lang w:val="en-US" w:eastAsia="zh-CN"/>
        </w:rPr>
        <w:t>执法人员</w:t>
      </w:r>
      <w:r>
        <w:rPr>
          <w:rFonts w:hint="eastAsia" w:ascii="仿宋_GB2312" w:hAnsi="仿宋_GB2312" w:eastAsia="仿宋_GB2312" w:cs="仿宋_GB2312"/>
          <w:sz w:val="32"/>
          <w:szCs w:val="32"/>
          <w:lang w:val="en-US" w:eastAsia="zh-CN"/>
        </w:rPr>
        <w:t>严重</w:t>
      </w:r>
      <w:r>
        <w:rPr>
          <w:rFonts w:hint="default" w:ascii="仿宋_GB2312" w:hAnsi="仿宋_GB2312" w:eastAsia="仿宋_GB2312" w:cs="仿宋_GB2312"/>
          <w:sz w:val="32"/>
          <w:szCs w:val="32"/>
          <w:lang w:val="en-US" w:eastAsia="zh-CN"/>
        </w:rPr>
        <w:t>不足；</w:t>
      </w:r>
    </w:p>
    <w:p w14:paraId="7A76CCEE">
      <w:pPr>
        <w:keepNext w:val="0"/>
        <w:keepLines w:val="0"/>
        <w:pageBreakBefore w:val="0"/>
        <w:widowControl w:val="0"/>
        <w:kinsoku/>
        <w:wordWrap/>
        <w:overflowPunct/>
        <w:topLinePunct w:val="0"/>
        <w:autoSpaceDE/>
        <w:autoSpaceDN/>
        <w:bidi w:val="0"/>
        <w:adjustRightInd/>
        <w:snapToGrid w:val="0"/>
        <w:spacing w:line="576"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仿宋_GB2312" w:hAnsi="仿宋_GB2312" w:eastAsia="仿宋_GB2312" w:cs="仿宋_GB2312"/>
          <w:sz w:val="32"/>
          <w:szCs w:val="32"/>
          <w:lang w:val="en-US" w:eastAsia="zh-CN"/>
        </w:rPr>
        <w:t>虽然目前我局执法全过程记录方面的制度化规定已较为完善，但保管、制作入卷方面还不够规范，特别是音像记录资料入卷的较少。</w:t>
      </w:r>
    </w:p>
    <w:p w14:paraId="280A98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四、推进法治政府建设的下一步工作打算</w:t>
      </w:r>
    </w:p>
    <w:p w14:paraId="0DD0D80D">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z w:val="32"/>
          <w:szCs w:val="32"/>
          <w:lang w:val="en-US" w:eastAsia="zh-CN"/>
        </w:rPr>
        <w:t>进一步推进法治政府建设。深入学习党的二十大精神，坚持全面依法治国。严格落实局党委、单位集体学法治度，认真学习</w:t>
      </w:r>
      <w:r>
        <w:rPr>
          <w:rFonts w:hint="eastAsia" w:ascii="仿宋_GB2312" w:hAnsi="仿宋_GB2312" w:eastAsia="仿宋_GB2312" w:cs="仿宋_GB2312"/>
          <w:kern w:val="0"/>
          <w:sz w:val="32"/>
          <w:szCs w:val="32"/>
          <w:lang w:val="en-US" w:eastAsia="zh-CN" w:bidi="ar"/>
        </w:rPr>
        <w:t>《中华人民共和国安全生产法》《中华人民共和国行政处罚法》等法律法规，</w:t>
      </w:r>
      <w:r>
        <w:rPr>
          <w:rFonts w:hint="eastAsia" w:ascii="仿宋_GB2312" w:hAnsi="仿宋_GB2312" w:eastAsia="仿宋_GB2312" w:cs="仿宋_GB2312"/>
          <w:sz w:val="32"/>
          <w:szCs w:val="32"/>
          <w:lang w:val="en-US" w:eastAsia="zh-CN"/>
        </w:rPr>
        <w:t>全面提高部门工作人员依法行政能力，积极组织开展行政执法和法律知识学习培训。</w:t>
      </w:r>
    </w:p>
    <w:p w14:paraId="4BE3FE12">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仿宋_GB2312" w:hAnsi="仿宋_GB2312" w:eastAsia="仿宋_GB2312" w:cs="仿宋_GB2312"/>
          <w:sz w:val="32"/>
          <w:szCs w:val="32"/>
          <w:lang w:val="en-US" w:eastAsia="zh-CN"/>
        </w:rPr>
        <w:t>推行重大案件和决策集体讨论和研究制度。明确工作职责，规范工作程序，保证法律顾问在制定重大行政决策、推进依法行政中发挥积极作用。推进科学民主依法决策，严格履行重大决策公众参与、专家论证、风险评估、合法性审查、集体讨论法定程序，全面推行政府法律顾问制度。</w:t>
      </w:r>
    </w:p>
    <w:p w14:paraId="6D3E2DFD">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仿宋_GB2312" w:hAnsi="仿宋_GB2312" w:eastAsia="仿宋_GB2312" w:cs="仿宋_GB2312"/>
          <w:sz w:val="32"/>
          <w:szCs w:val="32"/>
          <w:lang w:val="en-US" w:eastAsia="zh-CN"/>
        </w:rPr>
        <w:t>坚持严格规范公正文明执法，落实行政执法全过程记录、行政执法公示和重大执法决定法治审核制度，深化行政执法责任制。</w:t>
      </w:r>
      <w:r>
        <w:rPr>
          <w:rFonts w:hint="eastAsia" w:ascii="仿宋_GB2312" w:hAnsi="仿宋_GB2312" w:eastAsia="仿宋_GB2312" w:cs="仿宋_GB2312"/>
          <w:b w:val="0"/>
          <w:bCs w:val="0"/>
          <w:snapToGrid w:val="0"/>
          <w:kern w:val="0"/>
          <w:sz w:val="32"/>
          <w:szCs w:val="32"/>
          <w:lang w:val="en-US" w:eastAsia="zh-CN"/>
        </w:rPr>
        <w:t>进一步完善和推进</w:t>
      </w:r>
      <w:r>
        <w:rPr>
          <w:rFonts w:hint="eastAsia" w:ascii="仿宋_GB2312" w:hAnsi="仿宋_GB2312" w:eastAsia="仿宋_GB2312" w:cs="仿宋_GB2312"/>
          <w:sz w:val="32"/>
          <w:szCs w:val="32"/>
          <w:lang w:val="en-US" w:eastAsia="zh-CN"/>
        </w:rPr>
        <w:t>“互联网+执法”系统的应用，实现移动执法便携化、执法任务清单化、执法行为规范化、执法处罚流程化。</w:t>
      </w:r>
    </w:p>
    <w:p w14:paraId="59E5161E">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F67D99-B752-4BC2-B7B2-248A1829A2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06FF878-669D-4F1B-B73E-B3AB749C17DA}"/>
  </w:font>
  <w:font w:name="方正小标宋简体">
    <w:panose1 w:val="02000000000000000000"/>
    <w:charset w:val="86"/>
    <w:family w:val="auto"/>
    <w:pitch w:val="default"/>
    <w:sig w:usb0="00000001" w:usb1="080E0000" w:usb2="00000000" w:usb3="00000000" w:csb0="00040000" w:csb1="00000000"/>
    <w:embedRegular r:id="rId3" w:fontKey="{2CA8573F-EE7B-4F4B-880A-6BE03B60907F}"/>
  </w:font>
  <w:font w:name="楷体_GB2312">
    <w:panose1 w:val="02010609030101010101"/>
    <w:charset w:val="86"/>
    <w:family w:val="auto"/>
    <w:pitch w:val="default"/>
    <w:sig w:usb0="00000001" w:usb1="080E0000" w:usb2="00000000" w:usb3="00000000" w:csb0="00040000" w:csb1="00000000"/>
    <w:embedRegular r:id="rId4" w:fontKey="{AB3386B4-A157-44E0-9C60-945877FA37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6A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A5E5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A5E5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TBmNmIwNjQ4YmUxZmQ1MWJkNDA1ZTFhMGYyMjAifQ=="/>
  </w:docVars>
  <w:rsids>
    <w:rsidRoot w:val="00000000"/>
    <w:rsid w:val="00135135"/>
    <w:rsid w:val="007F27CB"/>
    <w:rsid w:val="00AF5DD5"/>
    <w:rsid w:val="00F50CDF"/>
    <w:rsid w:val="017936BE"/>
    <w:rsid w:val="03541CED"/>
    <w:rsid w:val="041D6583"/>
    <w:rsid w:val="045B52FD"/>
    <w:rsid w:val="05143E2A"/>
    <w:rsid w:val="0557192D"/>
    <w:rsid w:val="06CC603E"/>
    <w:rsid w:val="075665AC"/>
    <w:rsid w:val="077566D6"/>
    <w:rsid w:val="07D94EB6"/>
    <w:rsid w:val="07E04497"/>
    <w:rsid w:val="081B727D"/>
    <w:rsid w:val="082064C0"/>
    <w:rsid w:val="085065D7"/>
    <w:rsid w:val="08BD20E2"/>
    <w:rsid w:val="091F4B4B"/>
    <w:rsid w:val="09886B94"/>
    <w:rsid w:val="099C6CFC"/>
    <w:rsid w:val="0A6676D3"/>
    <w:rsid w:val="0AA7409F"/>
    <w:rsid w:val="0ADD2F10"/>
    <w:rsid w:val="0AE24082"/>
    <w:rsid w:val="0B587618"/>
    <w:rsid w:val="0BFA364D"/>
    <w:rsid w:val="0C676F35"/>
    <w:rsid w:val="0CCD4793"/>
    <w:rsid w:val="0CFB3821"/>
    <w:rsid w:val="0EA855E3"/>
    <w:rsid w:val="0F8B2F3A"/>
    <w:rsid w:val="0FFC1742"/>
    <w:rsid w:val="11DA5AB3"/>
    <w:rsid w:val="125D0492"/>
    <w:rsid w:val="12B2699A"/>
    <w:rsid w:val="15804BC3"/>
    <w:rsid w:val="158A77F0"/>
    <w:rsid w:val="162B2D81"/>
    <w:rsid w:val="17193440"/>
    <w:rsid w:val="17233A58"/>
    <w:rsid w:val="17365C94"/>
    <w:rsid w:val="178F0998"/>
    <w:rsid w:val="18ED04BB"/>
    <w:rsid w:val="19CD1D13"/>
    <w:rsid w:val="19E82D37"/>
    <w:rsid w:val="1C6C40F3"/>
    <w:rsid w:val="1DCC06CA"/>
    <w:rsid w:val="1E672DC4"/>
    <w:rsid w:val="1EA50B92"/>
    <w:rsid w:val="1EA731C1"/>
    <w:rsid w:val="1EBB0A1A"/>
    <w:rsid w:val="1ECB5101"/>
    <w:rsid w:val="1F394761"/>
    <w:rsid w:val="213C22E6"/>
    <w:rsid w:val="21465154"/>
    <w:rsid w:val="21701F90"/>
    <w:rsid w:val="235A4CA6"/>
    <w:rsid w:val="23F0560A"/>
    <w:rsid w:val="245416F5"/>
    <w:rsid w:val="24925A8A"/>
    <w:rsid w:val="255F2A47"/>
    <w:rsid w:val="27433128"/>
    <w:rsid w:val="27776584"/>
    <w:rsid w:val="27897907"/>
    <w:rsid w:val="2AAD6003"/>
    <w:rsid w:val="2BB92785"/>
    <w:rsid w:val="2CF73565"/>
    <w:rsid w:val="2D2D2C93"/>
    <w:rsid w:val="2DAD00C8"/>
    <w:rsid w:val="2E7110F5"/>
    <w:rsid w:val="2E982B26"/>
    <w:rsid w:val="2F41731B"/>
    <w:rsid w:val="2F7215C9"/>
    <w:rsid w:val="2FA31782"/>
    <w:rsid w:val="30503E51"/>
    <w:rsid w:val="32696CB3"/>
    <w:rsid w:val="32AA2E28"/>
    <w:rsid w:val="34036C94"/>
    <w:rsid w:val="345D45F6"/>
    <w:rsid w:val="34627E5E"/>
    <w:rsid w:val="34871673"/>
    <w:rsid w:val="356435EC"/>
    <w:rsid w:val="36B424C7"/>
    <w:rsid w:val="380D00E1"/>
    <w:rsid w:val="387719FE"/>
    <w:rsid w:val="38EC7CF6"/>
    <w:rsid w:val="39731FC9"/>
    <w:rsid w:val="3978683C"/>
    <w:rsid w:val="3A181A2A"/>
    <w:rsid w:val="3A543DA5"/>
    <w:rsid w:val="3ABE56C2"/>
    <w:rsid w:val="3AE01ADD"/>
    <w:rsid w:val="3AFB1C26"/>
    <w:rsid w:val="3B3E6803"/>
    <w:rsid w:val="3BD95FB9"/>
    <w:rsid w:val="3C1D0C09"/>
    <w:rsid w:val="3E263CAA"/>
    <w:rsid w:val="3E391C30"/>
    <w:rsid w:val="3E3A59A8"/>
    <w:rsid w:val="3E845C87"/>
    <w:rsid w:val="3F26267A"/>
    <w:rsid w:val="3F980BD8"/>
    <w:rsid w:val="403C77B5"/>
    <w:rsid w:val="40420B44"/>
    <w:rsid w:val="41CC2DBB"/>
    <w:rsid w:val="42240501"/>
    <w:rsid w:val="42B15B0D"/>
    <w:rsid w:val="43BA4E67"/>
    <w:rsid w:val="4464552C"/>
    <w:rsid w:val="44913E48"/>
    <w:rsid w:val="44C22253"/>
    <w:rsid w:val="45A51959"/>
    <w:rsid w:val="461A0599"/>
    <w:rsid w:val="46B1432D"/>
    <w:rsid w:val="46B207D1"/>
    <w:rsid w:val="46DB0D6D"/>
    <w:rsid w:val="46DD6713"/>
    <w:rsid w:val="472965B9"/>
    <w:rsid w:val="496833C9"/>
    <w:rsid w:val="49F7299F"/>
    <w:rsid w:val="4A5B6485"/>
    <w:rsid w:val="4AB64608"/>
    <w:rsid w:val="4ACC600C"/>
    <w:rsid w:val="4AF12638"/>
    <w:rsid w:val="4D3F08E5"/>
    <w:rsid w:val="4D810EFD"/>
    <w:rsid w:val="4E2F2707"/>
    <w:rsid w:val="4FE6773D"/>
    <w:rsid w:val="50067498"/>
    <w:rsid w:val="508F539B"/>
    <w:rsid w:val="516E1798"/>
    <w:rsid w:val="51AE6039"/>
    <w:rsid w:val="51BF0246"/>
    <w:rsid w:val="525F10E1"/>
    <w:rsid w:val="531B76FE"/>
    <w:rsid w:val="533E39A8"/>
    <w:rsid w:val="537D3F15"/>
    <w:rsid w:val="543F741C"/>
    <w:rsid w:val="54B43111"/>
    <w:rsid w:val="551B39E5"/>
    <w:rsid w:val="552D3354"/>
    <w:rsid w:val="55306D65"/>
    <w:rsid w:val="56A26776"/>
    <w:rsid w:val="58313520"/>
    <w:rsid w:val="59213594"/>
    <w:rsid w:val="5A3B2434"/>
    <w:rsid w:val="5A6E2809"/>
    <w:rsid w:val="5A7B6CD4"/>
    <w:rsid w:val="5A9F3E73"/>
    <w:rsid w:val="5AD07020"/>
    <w:rsid w:val="5B150ED7"/>
    <w:rsid w:val="5B800A46"/>
    <w:rsid w:val="5BA504AD"/>
    <w:rsid w:val="5BFA7C85"/>
    <w:rsid w:val="5D1826BD"/>
    <w:rsid w:val="5D41611C"/>
    <w:rsid w:val="5E745F14"/>
    <w:rsid w:val="5E8B1BDC"/>
    <w:rsid w:val="5EB8323F"/>
    <w:rsid w:val="5F6441DB"/>
    <w:rsid w:val="60060190"/>
    <w:rsid w:val="60C05441"/>
    <w:rsid w:val="60F43D7B"/>
    <w:rsid w:val="6138147B"/>
    <w:rsid w:val="61442516"/>
    <w:rsid w:val="6151253D"/>
    <w:rsid w:val="617701F5"/>
    <w:rsid w:val="62E66043"/>
    <w:rsid w:val="634736C9"/>
    <w:rsid w:val="63E83D70"/>
    <w:rsid w:val="64542A70"/>
    <w:rsid w:val="649461DC"/>
    <w:rsid w:val="64B33C3A"/>
    <w:rsid w:val="6663343E"/>
    <w:rsid w:val="67553383"/>
    <w:rsid w:val="68FC5484"/>
    <w:rsid w:val="691A347C"/>
    <w:rsid w:val="692644EC"/>
    <w:rsid w:val="69643755"/>
    <w:rsid w:val="69E44896"/>
    <w:rsid w:val="69EC374B"/>
    <w:rsid w:val="6A1E3984"/>
    <w:rsid w:val="6AB97AD1"/>
    <w:rsid w:val="6B013226"/>
    <w:rsid w:val="6FF43359"/>
    <w:rsid w:val="70934920"/>
    <w:rsid w:val="712A5284"/>
    <w:rsid w:val="71470049"/>
    <w:rsid w:val="71DE7B66"/>
    <w:rsid w:val="71ED1B26"/>
    <w:rsid w:val="731C2C9E"/>
    <w:rsid w:val="735859AD"/>
    <w:rsid w:val="73DE76F1"/>
    <w:rsid w:val="74CA4688"/>
    <w:rsid w:val="75C30015"/>
    <w:rsid w:val="76124539"/>
    <w:rsid w:val="775D3592"/>
    <w:rsid w:val="77D870BC"/>
    <w:rsid w:val="78494D99"/>
    <w:rsid w:val="78CA10FB"/>
    <w:rsid w:val="7A5944E4"/>
    <w:rsid w:val="7AC8166A"/>
    <w:rsid w:val="7ACD6C80"/>
    <w:rsid w:val="7AF95CC7"/>
    <w:rsid w:val="7B136D89"/>
    <w:rsid w:val="7B2A40D3"/>
    <w:rsid w:val="7C3E3AFF"/>
    <w:rsid w:val="7C745605"/>
    <w:rsid w:val="7C7D57DB"/>
    <w:rsid w:val="7CC3658D"/>
    <w:rsid w:val="7D16490F"/>
    <w:rsid w:val="7DAC7021"/>
    <w:rsid w:val="7DB0632D"/>
    <w:rsid w:val="7DBF0B02"/>
    <w:rsid w:val="7DCE51E9"/>
    <w:rsid w:val="7F806F7F"/>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jc w:val="center"/>
    </w:pPr>
    <w:rPr>
      <w:rFonts w:eastAsia="黑体"/>
      <w:sz w:val="36"/>
    </w:rPr>
  </w:style>
  <w:style w:type="paragraph" w:styleId="3">
    <w:name w:val="Body Text Indent"/>
    <w:basedOn w:val="1"/>
    <w:next w:val="1"/>
    <w:qFormat/>
    <w:uiPriority w:val="0"/>
    <w:pPr>
      <w:ind w:firstLine="643" w:firstLineChars="200"/>
    </w:pPr>
    <w:rPr>
      <w:rFonts w:ascii="仿宋_GB2312" w:eastAsia="仿宋_GB2312"/>
      <w:b/>
      <w:bCs/>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17"/>
    <w:basedOn w:val="8"/>
    <w:qFormat/>
    <w:uiPriority w:val="0"/>
    <w:rPr>
      <w:rFonts w:hint="eastAsia" w:ascii="宋体" w:hAnsi="宋体" w:eastAsia="宋体"/>
      <w:sz w:val="32"/>
      <w:szCs w:val="32"/>
    </w:rPr>
  </w:style>
  <w:style w:type="character" w:customStyle="1" w:styleId="11">
    <w:name w:val="20"/>
    <w:basedOn w:val="8"/>
    <w:qFormat/>
    <w:uiPriority w:val="0"/>
    <w:rPr>
      <w:rFonts w:hint="eastAsia" w:ascii="宋体" w:hAnsi="宋体" w:eastAsia="宋体"/>
      <w:sz w:val="32"/>
      <w:szCs w:val="32"/>
    </w:rPr>
  </w:style>
  <w:style w:type="paragraph" w:customStyle="1" w:styleId="12">
    <w:name w:val="正文-公1"/>
    <w:basedOn w:val="1"/>
    <w:qFormat/>
    <w:uiPriority w:val="0"/>
    <w:pPr>
      <w:ind w:firstLine="200" w:firstLineChars="200"/>
    </w:pPr>
    <w:rPr>
      <w:rFonts w:ascii="Calibri" w:hAnsi="Calibri" w:eastAsia="宋体" w:cs="Calibri"/>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3187</Words>
  <Characters>3246</Characters>
  <Lines>0</Lines>
  <Paragraphs>0</Paragraphs>
  <TotalTime>13</TotalTime>
  <ScaleCrop>false</ScaleCrop>
  <LinksUpToDate>false</LinksUpToDate>
  <CharactersWithSpaces>3273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2023-06-28T07:24:00Z</dcterms:created>
  <dc:creator>lenovo</dc:creator>
  <cp:lastModifiedBy>WPS_1654836395</cp:lastModifiedBy>
  <cp:lastPrinted>2024-11-20T03:51:00Z</cp:lastPrinted>
  <dcterms:modified xsi:type="dcterms:W3CDTF">2025-03-27T09:56:40Z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CB88FC88818F4E74AF1A54616C438216_13</vt:lpwstr>
  </property>
  <property fmtid="{D5CDD505-2E9C-101B-9397-08002B2CF9AE}" pid="4" name="KSOTemplateDocerSaveRecord">
    <vt:lpwstr>eyJoZGlkIjoiOGM5ODA5NmYxNzA5YTMyZjJiMjliMzgzMTliNjY2YjMiLCJ1c2VySWQiOiIxMzgzMzM0NzM1In0=</vt:lpwstr>
  </property>
</Properties>
</file>