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7303C0">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小标宋简体" w:hAnsi="方正小标宋简体" w:eastAsia="方正小标宋简体" w:cs="方正小标宋简体"/>
          <w:sz w:val="44"/>
          <w:szCs w:val="44"/>
        </w:rPr>
      </w:pPr>
      <w:bookmarkStart w:id="0" w:name="_GoBack"/>
      <w:bookmarkEnd w:id="0"/>
    </w:p>
    <w:p w14:paraId="3702DBF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西宁市湟中区田家寨镇人民政府</w:t>
      </w:r>
    </w:p>
    <w:p w14:paraId="35A2217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关于2025年法治政府建设情况的报告</w:t>
      </w:r>
    </w:p>
    <w:p w14:paraId="3DE32D85">
      <w:pPr>
        <w:rPr>
          <w:rFonts w:hint="eastAsia" w:ascii="仿宋_GB2312" w:hAnsi="仿宋_GB2312" w:eastAsia="仿宋_GB2312" w:cs="仿宋_GB2312"/>
          <w:sz w:val="32"/>
          <w:szCs w:val="32"/>
        </w:rPr>
      </w:pPr>
    </w:p>
    <w:p w14:paraId="3B95ABB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w:t>
      </w:r>
      <w:r>
        <w:rPr>
          <w:rFonts w:hint="eastAsia" w:ascii="仿宋_GB2312" w:hAnsi="仿宋_GB2312" w:eastAsia="仿宋_GB2312" w:cs="仿宋_GB2312"/>
          <w:sz w:val="32"/>
          <w:szCs w:val="32"/>
          <w:lang w:eastAsia="zh-CN"/>
        </w:rPr>
        <w:t>以来</w:t>
      </w:r>
      <w:r>
        <w:rPr>
          <w:rFonts w:hint="eastAsia" w:ascii="仿宋_GB2312" w:hAnsi="仿宋_GB2312" w:eastAsia="仿宋_GB2312" w:cs="仿宋_GB2312"/>
          <w:sz w:val="32"/>
          <w:szCs w:val="32"/>
        </w:rPr>
        <w:t>，田家寨镇人民政府坚持以习近平新时代中国特色社会主义思想为指导，深入学习贯彻党的二十大和二十届四中全会精神，全面落实中央、省、市、区关于法治政府建设的各项决策部署，在区委、区政府的坚强领导下，紧紧围绕全镇中心工作，以更高标准、更实举措深入推进依法行政，加快建设法治政府，各项工作取得新进展。现将本年度法治政府建设情况报告如下：</w:t>
      </w:r>
    </w:p>
    <w:p w14:paraId="6413907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一、本年度推进法治政府建设的主要举措及成效</w:t>
      </w:r>
    </w:p>
    <w:p w14:paraId="5F671A65">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（一）加强组织领导，压实法治建设责任。</w:t>
      </w:r>
      <w:r>
        <w:rPr>
          <w:rFonts w:hint="eastAsia" w:ascii="仿宋_GB2312" w:hAnsi="仿宋_GB2312" w:eastAsia="仿宋_GB2312" w:cs="仿宋_GB2312"/>
          <w:sz w:val="32"/>
          <w:szCs w:val="32"/>
        </w:rPr>
        <w:t xml:space="preserve"> 镇党委、政府始终将法治政府建设摆在全局工作的重要位置，纳入年度工作要点同部署、同推进、同考核。调整优化镇法治政府建设工作领导小组，持续坚持由镇党委书记、镇长担任双组长，定期召开专题会议研究解决法治建设中的重要问题和重大事项，确保各项任务落地落实。</w:t>
      </w:r>
      <w:r>
        <w:rPr>
          <w:rFonts w:hint="eastAsia" w:ascii="Times New Roman" w:hAnsi="Times New Roman" w:eastAsia="仿宋_GB2312" w:cs="方正仿宋_GB2312"/>
          <w:sz w:val="32"/>
          <w:szCs w:val="32"/>
          <w:highlight w:val="none"/>
          <w:lang w:val="en-US" w:eastAsia="zh-CN"/>
        </w:rPr>
        <w:t>研究制定《田家寨镇2025年法治建设工作计划》，明确责任分工和完成时限，</w:t>
      </w:r>
      <w:r>
        <w:rPr>
          <w:rFonts w:hint="eastAsia" w:ascii="仿宋_GB2312" w:hAnsi="仿宋_GB2312" w:eastAsia="仿宋_GB2312" w:cs="仿宋_GB2312"/>
          <w:sz w:val="32"/>
          <w:szCs w:val="32"/>
        </w:rPr>
        <w:t>严格执行主要负责人履行推进法治建设第一责任人职责规定，</w:t>
      </w:r>
      <w:r>
        <w:rPr>
          <w:rFonts w:hint="eastAsia" w:ascii="Times New Roman" w:hAnsi="Times New Roman" w:eastAsia="仿宋_GB2312" w:cs="方正仿宋_GB2312"/>
          <w:sz w:val="32"/>
          <w:szCs w:val="32"/>
          <w:highlight w:val="none"/>
          <w:lang w:val="en-US" w:eastAsia="zh-CN"/>
        </w:rPr>
        <w:t>将法治建设纳入全镇年度综合考核体系，</w:t>
      </w:r>
      <w:r>
        <w:rPr>
          <w:rFonts w:hint="eastAsia" w:ascii="仿宋_GB2312" w:hAnsi="仿宋_GB2312" w:eastAsia="仿宋_GB2312" w:cs="仿宋_GB2312"/>
          <w:sz w:val="32"/>
          <w:szCs w:val="32"/>
        </w:rPr>
        <w:t>推动形成一级抓一级、层层抓落实的法治工作格局。</w:t>
      </w:r>
      <w:r>
        <w:rPr>
          <w:rFonts w:hint="eastAsia" w:ascii="Times New Roman" w:hAnsi="Times New Roman" w:eastAsia="仿宋_GB2312" w:cs="方正仿宋_GB2312"/>
          <w:sz w:val="32"/>
          <w:szCs w:val="32"/>
          <w:highlight w:val="none"/>
          <w:lang w:val="en-US" w:eastAsia="zh-CN"/>
        </w:rPr>
        <w:t>召开法治建设专题推进会4次，听取工作汇报、分析存在问题、部署整改措施，全年研究解决法治建设重大问题，确保各项工作有序推进。</w:t>
      </w:r>
    </w:p>
    <w:p w14:paraId="257953A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（二）健全决策机制，提升依法行政水平。</w:t>
      </w:r>
      <w:r>
        <w:rPr>
          <w:rFonts w:hint="eastAsia" w:ascii="仿宋_GB2312" w:hAnsi="仿宋_GB2312" w:eastAsia="仿宋_GB2312" w:cs="仿宋_GB2312"/>
          <w:b/>
          <w:bCs/>
          <w:sz w:val="32"/>
          <w:szCs w:val="32"/>
        </w:rPr>
        <w:t>一是严格规范重大行政决策程序。</w:t>
      </w:r>
      <w:r>
        <w:rPr>
          <w:rFonts w:hint="eastAsia" w:ascii="仿宋_GB2312" w:hAnsi="仿宋_GB2312" w:eastAsia="仿宋_GB2312" w:cs="仿宋_GB2312"/>
          <w:sz w:val="32"/>
          <w:szCs w:val="32"/>
        </w:rPr>
        <w:t>全面落实《重大行政决策程序暂行条例》，对涉及经济社会发展全局、社会涉及面广、与人民群众利益密切相关的重大事项，严格履行公众参与、风险评估、合法性审查和集体讨论决定等法定程序，确保决策科学、程序正当、责任明确。</w:t>
      </w:r>
      <w:r>
        <w:rPr>
          <w:rFonts w:hint="eastAsia" w:ascii="仿宋_GB2312" w:hAnsi="仿宋_GB2312" w:eastAsia="仿宋_GB2312" w:cs="仿宋_GB2312"/>
          <w:b/>
          <w:bCs/>
          <w:sz w:val="32"/>
          <w:szCs w:val="32"/>
        </w:rPr>
        <w:t>二是深化行政执法体制改革。</w:t>
      </w:r>
      <w:r>
        <w:rPr>
          <w:rFonts w:hint="eastAsia" w:ascii="仿宋_GB2312" w:hAnsi="仿宋_GB2312" w:eastAsia="仿宋_GB2312" w:cs="仿宋_GB2312"/>
          <w:sz w:val="32"/>
          <w:szCs w:val="32"/>
        </w:rPr>
        <w:t>全面推行行政执法公示制度、执法全过程记录制度、重大执法决定法制审核制度，聚焦自然资源、生态环境、安全生产、市场监管等重点领域，加强执法监督，规范执法行为。组织全镇行政执法人员参加资格培训与考试，开展案卷评查和执法评议，执法人员专业素养和执法规范化水平得到有效提升。</w:t>
      </w:r>
      <w:r>
        <w:rPr>
          <w:rFonts w:hint="eastAsia" w:ascii="仿宋_GB2312" w:hAnsi="仿宋_GB2312" w:eastAsia="仿宋_GB2312" w:cs="仿宋_GB2312"/>
          <w:b/>
          <w:bCs/>
          <w:sz w:val="32"/>
          <w:szCs w:val="32"/>
        </w:rPr>
        <w:t>三是强化行政权力制约监督。</w:t>
      </w:r>
      <w:r>
        <w:rPr>
          <w:rFonts w:hint="eastAsia" w:ascii="仿宋_GB2312" w:hAnsi="仿宋_GB2312" w:eastAsia="仿宋_GB2312" w:cs="仿宋_GB2312"/>
          <w:sz w:val="32"/>
          <w:szCs w:val="32"/>
        </w:rPr>
        <w:t>自觉接受人大监督、民主监督和社会监督，认真办理人大代表议案建议和政协委员提案。全面推进政务公开，依据《中华人民共和国政府信息公开条例》，及时、准确、规范地公开财政预决算、重点项目、民生政策等信息，保障人民群众的知情权、参与权、表达权和监督权。</w:t>
      </w:r>
    </w:p>
    <w:p w14:paraId="2903F3CF">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jc w:val="both"/>
        <w:textAlignment w:val="auto"/>
        <w:rPr>
          <w:rFonts w:hint="eastAsia" w:ascii="Times New Roman" w:hAnsi="Times New Roman" w:eastAsia="仿宋_GB2312" w:cs="Times New Roman"/>
          <w:i w:val="0"/>
          <w:caps w:val="0"/>
          <w:color w:val="0F1115"/>
          <w:spacing w:val="0"/>
          <w:sz w:val="32"/>
          <w:szCs w:val="32"/>
          <w:highlight w:val="none"/>
          <w:shd w:val="clear" w:color="auto" w:fill="FFFFFF"/>
          <w:lang w:val="en-US" w:eastAsia="zh-CN"/>
        </w:rPr>
      </w:pPr>
      <w:r>
        <w:rPr>
          <w:rFonts w:hint="eastAsia" w:ascii="楷体" w:hAnsi="楷体" w:eastAsia="楷体" w:cs="楷体"/>
          <w:b/>
          <w:bCs/>
          <w:sz w:val="32"/>
          <w:szCs w:val="32"/>
        </w:rPr>
        <w:t>（三）深化普法宣传，营造浓厚法治氛围。</w:t>
      </w:r>
      <w:r>
        <w:rPr>
          <w:rFonts w:hint="eastAsia" w:ascii="仿宋_GB2312" w:hAnsi="仿宋_GB2312" w:eastAsia="仿宋_GB2312" w:cs="仿宋_GB2312"/>
          <w:b/>
          <w:bCs/>
          <w:sz w:val="32"/>
          <w:szCs w:val="32"/>
        </w:rPr>
        <w:t>一是抓住“关键少数”。</w:t>
      </w:r>
      <w:r>
        <w:rPr>
          <w:rFonts w:hint="eastAsia" w:ascii="仿宋_GB2312" w:hAnsi="仿宋_GB2312" w:eastAsia="仿宋_GB2312" w:cs="仿宋_GB2312"/>
          <w:sz w:val="32"/>
          <w:szCs w:val="32"/>
        </w:rPr>
        <w:t>坚持领导干部带头尊法学法守法用法，将习近平法治思想、宪法法律和党内法规纳入党委理论学习中心组学习和干部教育培训必修内容，全年组织中心组学法4次，举办干部法治专题讲座</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期。</w:t>
      </w:r>
      <w:r>
        <w:rPr>
          <w:rFonts w:hint="eastAsia" w:ascii="仿宋_GB2312" w:hAnsi="仿宋_GB2312" w:eastAsia="仿宋_GB2312" w:cs="仿宋_GB2312"/>
          <w:b/>
          <w:bCs/>
          <w:sz w:val="32"/>
          <w:szCs w:val="32"/>
        </w:rPr>
        <w:t>二是提升队伍素养。</w:t>
      </w:r>
      <w:r>
        <w:rPr>
          <w:rFonts w:hint="eastAsia" w:ascii="仿宋_GB2312" w:hAnsi="仿宋_GB2312" w:eastAsia="仿宋_GB2312" w:cs="仿宋_GB2312"/>
          <w:sz w:val="32"/>
          <w:szCs w:val="32"/>
        </w:rPr>
        <w:t>依托“法宣在线”“学习强国”等平台，组织全体干部职工进行在线学法考法</w:t>
      </w:r>
      <w:r>
        <w:rPr>
          <w:rFonts w:hint="eastAsia" w:ascii="仿宋_GB2312" w:hAnsi="仿宋_GB2312" w:eastAsia="仿宋_GB2312" w:cs="仿宋_GB2312"/>
          <w:sz w:val="32"/>
          <w:szCs w:val="32"/>
          <w:lang w:eastAsia="zh-CN"/>
        </w:rPr>
        <w:t>、</w:t>
      </w:r>
      <w:r>
        <w:rPr>
          <w:rFonts w:hint="eastAsia" w:ascii="Times New Roman" w:hAnsi="Times New Roman" w:eastAsia="仿宋_GB2312" w:cs="方正仿宋_GB2312"/>
          <w:sz w:val="32"/>
          <w:szCs w:val="32"/>
          <w:highlight w:val="none"/>
          <w:lang w:val="en-US" w:eastAsia="zh-CN"/>
        </w:rPr>
        <w:t>新任干部参加法治培训、村“两委”干部法治轮训，累计培训镇村干部680余人次，实现法治教育全覆盖，推动全镇上下形成尊法学法守法用法的思想自觉。</w:t>
      </w:r>
      <w:r>
        <w:rPr>
          <w:rFonts w:hint="eastAsia" w:ascii="仿宋_GB2312" w:hAnsi="仿宋_GB2312" w:eastAsia="仿宋_GB2312" w:cs="仿宋_GB2312"/>
          <w:sz w:val="32"/>
          <w:szCs w:val="32"/>
        </w:rPr>
        <w:t>开展“岗位大练兵、业务大比武”活动，将法治素养和依法办事能力作为干部考核评价的重要依据。</w:t>
      </w:r>
      <w:r>
        <w:rPr>
          <w:rFonts w:hint="eastAsia" w:ascii="仿宋_GB2312" w:hAnsi="仿宋_GB2312" w:eastAsia="仿宋_GB2312" w:cs="仿宋_GB2312"/>
          <w:b/>
          <w:bCs/>
          <w:sz w:val="32"/>
          <w:szCs w:val="32"/>
        </w:rPr>
        <w:t>三是拓展普法广度深度。</w:t>
      </w:r>
      <w:r>
        <w:rPr>
          <w:rFonts w:hint="eastAsia" w:ascii="Times New Roman" w:hAnsi="Times New Roman" w:eastAsia="仿宋_GB2312" w:cs="Times New Roman"/>
          <w:i w:val="0"/>
          <w:caps w:val="0"/>
          <w:color w:val="0F1115"/>
          <w:spacing w:val="0"/>
          <w:sz w:val="32"/>
          <w:szCs w:val="32"/>
          <w:highlight w:val="none"/>
          <w:shd w:val="clear" w:color="auto" w:fill="FFFFFF"/>
          <w:lang w:val="en-US" w:eastAsia="zh-CN"/>
        </w:rPr>
        <w:t>根据“八五”普法规划，</w:t>
      </w:r>
      <w:r>
        <w:rPr>
          <w:rFonts w:hint="eastAsia" w:ascii="仿宋_GB2312" w:hAnsi="仿宋_GB2312" w:eastAsia="仿宋_GB2312" w:cs="仿宋_GB2312"/>
          <w:sz w:val="32"/>
          <w:szCs w:val="32"/>
        </w:rPr>
        <w:t>结合“4·15”全民国家安全教育日、“民法典宣传月”、“12·4”国家宪法日等重要节点，深入</w:t>
      </w:r>
      <w:r>
        <w:rPr>
          <w:rFonts w:hint="eastAsia" w:ascii="Times New Roman" w:hAnsi="Times New Roman" w:eastAsia="仿宋_GB2312" w:cs="Times New Roman"/>
          <w:i w:val="0"/>
          <w:caps w:val="0"/>
          <w:color w:val="0F1115"/>
          <w:spacing w:val="0"/>
          <w:sz w:val="32"/>
          <w:szCs w:val="32"/>
          <w:highlight w:val="none"/>
          <w:shd w:val="clear" w:color="auto" w:fill="FFFFFF"/>
          <w:lang w:val="en-US" w:eastAsia="zh-CN"/>
        </w:rPr>
        <w:t>开展法治宣传进村社、进校园、进企业活动28场次，发放宣传资料5000余份，受教育群众达8000余人次。</w:t>
      </w:r>
      <w:r>
        <w:rPr>
          <w:rFonts w:hint="eastAsia" w:ascii="仿宋_GB2312" w:hAnsi="仿宋_GB2312" w:eastAsia="仿宋_GB2312" w:cs="仿宋_GB2312"/>
          <w:sz w:val="32"/>
          <w:szCs w:val="32"/>
        </w:rPr>
        <w:t>创新普法形式，运用</w:t>
      </w:r>
      <w:r>
        <w:rPr>
          <w:rFonts w:hint="eastAsia" w:ascii="仿宋_GB2312" w:hAnsi="仿宋_GB2312" w:eastAsia="仿宋_GB2312" w:cs="仿宋_GB2312"/>
          <w:sz w:val="32"/>
          <w:szCs w:val="32"/>
          <w:lang w:eastAsia="zh-CN"/>
        </w:rPr>
        <w:t>“淳美田家寨”</w:t>
      </w:r>
      <w:r>
        <w:rPr>
          <w:rFonts w:hint="eastAsia" w:ascii="仿宋_GB2312" w:hAnsi="仿宋_GB2312" w:eastAsia="仿宋_GB2312" w:cs="仿宋_GB2312"/>
          <w:sz w:val="32"/>
          <w:szCs w:val="32"/>
        </w:rPr>
        <w:t>微信公众号、村民</w:t>
      </w:r>
      <w:r>
        <w:rPr>
          <w:rFonts w:hint="eastAsia" w:ascii="仿宋_GB2312" w:hAnsi="仿宋_GB2312" w:eastAsia="仿宋_GB2312" w:cs="仿宋_GB2312"/>
          <w:sz w:val="32"/>
          <w:szCs w:val="32"/>
          <w:lang w:eastAsia="zh-CN"/>
        </w:rPr>
        <w:t>邻里</w:t>
      </w:r>
      <w:r>
        <w:rPr>
          <w:rFonts w:hint="eastAsia" w:ascii="仿宋_GB2312" w:hAnsi="仿宋_GB2312" w:eastAsia="仿宋_GB2312" w:cs="仿宋_GB2312"/>
          <w:sz w:val="32"/>
          <w:szCs w:val="32"/>
        </w:rPr>
        <w:t>微信群、乡村大喇叭、法治文化广场等线上线下阵地，针对防范电信诈骗、土地承包、婚姻家庭、未成年人保护等群众关心关注的热点问题，</w:t>
      </w:r>
      <w:r>
        <w:rPr>
          <w:rFonts w:hint="eastAsia" w:ascii="Times New Roman" w:hAnsi="Times New Roman" w:eastAsia="仿宋_GB2312" w:cs="Times New Roman"/>
          <w:i w:val="0"/>
          <w:caps w:val="0"/>
          <w:color w:val="0F1115"/>
          <w:spacing w:val="0"/>
          <w:sz w:val="32"/>
          <w:szCs w:val="32"/>
          <w:highlight w:val="none"/>
          <w:shd w:val="clear" w:color="auto" w:fill="FFFFFF"/>
          <w:lang w:val="en-US" w:eastAsia="zh-CN"/>
        </w:rPr>
        <w:t>通过以案释法、法律咨询等方式提升群众法治意识，推动形成办事依法、遇事找法、解决问题用法、化解矛盾靠法的良好社会风尚。</w:t>
      </w:r>
    </w:p>
    <w:p w14:paraId="091FFEB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（四）优化基层治理，维护社会和谐稳定。</w:t>
      </w:r>
      <w:r>
        <w:rPr>
          <w:rFonts w:hint="eastAsia" w:ascii="仿宋_GB2312" w:hAnsi="仿宋_GB2312" w:eastAsia="仿宋_GB2312" w:cs="仿宋_GB2312"/>
          <w:b/>
          <w:bCs/>
          <w:sz w:val="32"/>
          <w:szCs w:val="32"/>
        </w:rPr>
        <w:t>一是完善矛盾纠纷多元化解机制。</w:t>
      </w:r>
      <w:r>
        <w:rPr>
          <w:rFonts w:hint="eastAsia" w:ascii="仿宋_GB2312" w:hAnsi="仿宋_GB2312" w:eastAsia="仿宋_GB2312" w:cs="仿宋_GB2312"/>
          <w:sz w:val="32"/>
          <w:szCs w:val="32"/>
        </w:rPr>
        <w:t>坚持和发展新时代“枫桥经验”，健全镇、村、社三级矛盾纠纷排查调处网络，整合人民调解、行政调解、司法调解资源，重点围绕征地拆迁、劳资纠纷、邻里矛盾等领域，开展常态化排查与专项化解行动。</w:t>
      </w:r>
      <w:r>
        <w:rPr>
          <w:rFonts w:hint="eastAsia" w:ascii="Times New Roman" w:hAnsi="Times New Roman" w:eastAsia="仿宋_GB2312" w:cs="Times New Roman"/>
          <w:i w:val="0"/>
          <w:caps w:val="0"/>
          <w:color w:val="0F1115"/>
          <w:spacing w:val="0"/>
          <w:sz w:val="32"/>
          <w:szCs w:val="32"/>
          <w:highlight w:val="none"/>
          <w:shd w:val="clear" w:color="auto" w:fill="FFFFFF"/>
          <w:lang w:val="en-US" w:eastAsia="zh-CN"/>
        </w:rPr>
        <w:t>严格落实矛盾纠纷一月一排查机制，切实做到“小事不出村、大事不出镇、矛盾不上交”。</w:t>
      </w:r>
      <w:r>
        <w:rPr>
          <w:rFonts w:hint="eastAsia" w:ascii="仿宋_GB2312" w:hAnsi="仿宋_GB2312" w:eastAsia="仿宋_GB2312" w:cs="仿宋_GB2312"/>
          <w:sz w:val="32"/>
          <w:szCs w:val="32"/>
        </w:rPr>
        <w:t>2025年，全镇各级调解组织共成功调处各类矛盾纠纷</w:t>
      </w:r>
      <w:r>
        <w:rPr>
          <w:rFonts w:hint="eastAsia" w:ascii="Times New Roman" w:hAnsi="Times New Roman" w:eastAsia="仿宋_GB2312" w:cs="方正仿宋_GB2312"/>
          <w:kern w:val="0"/>
          <w:sz w:val="32"/>
          <w:szCs w:val="32"/>
          <w:highlight w:val="none"/>
          <w:lang w:val="en-US" w:eastAsia="zh-CN" w:bidi="ar"/>
        </w:rPr>
        <w:t>96</w:t>
      </w:r>
      <w:r>
        <w:rPr>
          <w:rFonts w:hint="eastAsia" w:ascii="Times New Roman" w:hAnsi="Times New Roman" w:eastAsia="仿宋_GB2312" w:cs="Times New Roman"/>
          <w:i w:val="0"/>
          <w:caps w:val="0"/>
          <w:color w:val="0F1115"/>
          <w:spacing w:val="0"/>
          <w:sz w:val="32"/>
          <w:szCs w:val="32"/>
          <w:highlight w:val="none"/>
          <w:shd w:val="clear" w:color="auto" w:fill="FFFFFF"/>
          <w:lang w:val="en-US" w:eastAsia="zh-CN"/>
        </w:rPr>
        <w:t>件，调解成功率达99%，有效维护了基层和谐稳定。</w:t>
      </w:r>
      <w:r>
        <w:rPr>
          <w:rFonts w:hint="eastAsia" w:ascii="仿宋_GB2312" w:hAnsi="仿宋_GB2312" w:eastAsia="仿宋_GB2312" w:cs="仿宋_GB2312"/>
          <w:b/>
          <w:bCs/>
          <w:sz w:val="32"/>
          <w:szCs w:val="32"/>
        </w:rPr>
        <w:t>二是依法规范信访工作秩序。</w:t>
      </w:r>
      <w:r>
        <w:rPr>
          <w:rFonts w:hint="eastAsia" w:ascii="仿宋_GB2312" w:hAnsi="仿宋_GB2312" w:eastAsia="仿宋_GB2312" w:cs="仿宋_GB2312"/>
          <w:sz w:val="32"/>
          <w:szCs w:val="32"/>
        </w:rPr>
        <w:t>严格落实《信访工作条例》，畅通和规范群众诉求表达、利益协调、权益保障通道。完善领导干部接访下访制度，依法依规处理信访事项。</w:t>
      </w:r>
      <w:r>
        <w:rPr>
          <w:rFonts w:hint="eastAsia" w:ascii="仿宋_GB2312" w:hAnsi="Times New Roman" w:eastAsia="仿宋_GB2312" w:cs="Times New Roman"/>
          <w:sz w:val="32"/>
          <w:szCs w:val="32"/>
          <w:highlight w:val="none"/>
          <w:lang w:val="en-US" w:eastAsia="zh-CN"/>
        </w:rPr>
        <w:t>高效处置“12345”热线工单388件，</w:t>
      </w:r>
      <w:r>
        <w:rPr>
          <w:rFonts w:hint="eastAsia" w:ascii="仿宋_GB2312" w:hAnsi="仿宋_GB2312" w:eastAsia="仿宋_GB2312" w:cs="仿宋_GB2312"/>
          <w:sz w:val="32"/>
          <w:szCs w:val="32"/>
        </w:rPr>
        <w:t>按期办结率100%，群众满意度持续提升。</w:t>
      </w:r>
      <w:r>
        <w:rPr>
          <w:rFonts w:hint="eastAsia" w:ascii="仿宋_GB2312" w:hAnsi="仿宋_GB2312" w:eastAsia="仿宋_GB2312" w:cs="仿宋_GB2312"/>
          <w:b/>
          <w:bCs/>
          <w:sz w:val="32"/>
          <w:szCs w:val="32"/>
        </w:rPr>
        <w:t>三是夯实平安建设根基。</w:t>
      </w:r>
      <w:r>
        <w:rPr>
          <w:rFonts w:hint="eastAsia" w:ascii="Times New Roman" w:hAnsi="Times New Roman" w:eastAsia="仿宋_GB2312" w:cs="Times New Roman"/>
          <w:i w:val="0"/>
          <w:caps w:val="0"/>
          <w:color w:val="0F1115"/>
          <w:spacing w:val="0"/>
          <w:sz w:val="32"/>
          <w:szCs w:val="32"/>
          <w:highlight w:val="none"/>
          <w:shd w:val="clear" w:color="auto" w:fill="FFFFFF"/>
          <w:lang w:val="en-US" w:eastAsia="zh-CN"/>
        </w:rPr>
        <w:t>深入贯彻省委平安青海建设“十个一”要求及平安湟中“1+10”机制，成立由镇党委书记任组长的平安建设领导小组，制定年度实施方案，细化任务分工。通过开展“十大专项行动”，形成多级联动、齐抓共管的工作格局，持续排查全领域安全隐患，为平安建设奠定坚实基础。</w:t>
      </w:r>
      <w:r>
        <w:rPr>
          <w:rFonts w:hint="eastAsia" w:ascii="仿宋_GB2312" w:hAnsi="仿宋_GB2312" w:eastAsia="仿宋_GB2312" w:cs="仿宋_GB2312"/>
          <w:sz w:val="32"/>
          <w:szCs w:val="32"/>
        </w:rPr>
        <w:t>将法治建设与平安建设深度融合，常态化开展扫黑除恶斗争，加强对特殊人群的服务管理，依法打击各类违法犯罪活动，人民群众的安全感、满意度得到切实保障。</w:t>
      </w:r>
    </w:p>
    <w:p w14:paraId="101C4D7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二、本年度推进法治政府建设存在的问题及原因分析</w:t>
      </w:r>
    </w:p>
    <w:p w14:paraId="190CE3A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在肯定成绩的同时，我们也清醒地认识到，我镇法治政府建设仍存在一些薄弱环节：</w:t>
      </w:r>
    </w:p>
    <w:p w14:paraId="5AC8086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（一）法治宣传的精准性和实效性有待加强。</w:t>
      </w:r>
      <w:r>
        <w:rPr>
          <w:rFonts w:hint="eastAsia" w:ascii="仿宋_GB2312" w:hAnsi="仿宋_GB2312" w:eastAsia="仿宋_GB2312" w:cs="仿宋_GB2312"/>
          <w:sz w:val="32"/>
          <w:szCs w:val="32"/>
        </w:rPr>
        <w:t>普法宣传形式虽有所创新，但有时仍存在“大水漫灌”现象，针对不同群体的差异化、个性化普法需求研究不够，宣传内容的吸引力和感染力有待进一步提升。部分宣传仍以发放传单、悬挂横幅等传统方式为主，运用新媒体新技术普法的影响力尚显不足。</w:t>
      </w:r>
    </w:p>
    <w:p w14:paraId="0B02D8D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（二）基层执法能力建设仍需持续用力。</w:t>
      </w:r>
      <w:r>
        <w:rPr>
          <w:rFonts w:hint="eastAsia" w:ascii="仿宋_GB2312" w:hAnsi="仿宋_GB2312" w:eastAsia="仿宋_GB2312" w:cs="仿宋_GB2312"/>
          <w:sz w:val="32"/>
          <w:szCs w:val="32"/>
        </w:rPr>
        <w:t>部分执法人员的法律专业知识储备和复杂案件处理能力有待提高，特别是在新业态、新领域出现时，存在一定的“本领恐慌”。执法装备保障、技术手段应用与执法实践需求之间还存在差距。</w:t>
      </w:r>
    </w:p>
    <w:p w14:paraId="0DF1DBC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（三）运用法治思维破解难题的能力有待提升。</w:t>
      </w:r>
      <w:r>
        <w:rPr>
          <w:rFonts w:hint="eastAsia" w:ascii="仿宋_GB2312" w:hAnsi="仿宋_GB2312" w:eastAsia="仿宋_GB2312" w:cs="仿宋_GB2312"/>
          <w:sz w:val="32"/>
          <w:szCs w:val="32"/>
        </w:rPr>
        <w:t>少数干部在处理历史遗留问题或突发复杂事件时，习惯于运用传统行政手段，运用法治方式谋划工作、处理矛盾、推动改革的意识和能力仍需加强。各部门之间在信息共享、协同执法方面的机制还不够顺畅。</w:t>
      </w:r>
    </w:p>
    <w:p w14:paraId="5FD646B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原因分析：</w:t>
      </w: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思想认识层面，部分干部对法治政府建设长期性、复杂性的认识还不够深刻，学用结合的主动性有待增强。</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机制保障层面，常态化、制度化的培训演练机制有待完善，执法监督和考核问责的刚性约束需进一步强化。</w:t>
      </w:r>
      <w:r>
        <w:rPr>
          <w:rFonts w:hint="eastAsia" w:ascii="仿宋_GB2312" w:hAnsi="仿宋_GB2312" w:eastAsia="仿宋_GB2312" w:cs="仿宋_GB2312"/>
          <w:b/>
          <w:bCs/>
          <w:sz w:val="32"/>
          <w:szCs w:val="32"/>
        </w:rPr>
        <w:t>三是</w:t>
      </w:r>
      <w:r>
        <w:rPr>
          <w:rFonts w:hint="eastAsia" w:ascii="仿宋_GB2312" w:hAnsi="仿宋_GB2312" w:eastAsia="仿宋_GB2312" w:cs="仿宋_GB2312"/>
          <w:sz w:val="32"/>
          <w:szCs w:val="32"/>
        </w:rPr>
        <w:t>资源投入层面，基层法治工作力量相对薄弱，专业人才缺乏，经费保障等有待进一步加强。</w:t>
      </w:r>
    </w:p>
    <w:p w14:paraId="2AEDCD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三、本年度党政主要负责人履行推进法治建设第一责任人职责、加强法治政府建设的情况</w:t>
      </w:r>
    </w:p>
    <w:p w14:paraId="4879B0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2025年，镇党政主要负责人严格履行推进法治建设第一责任人职责，将法治政府建设作为重大政治任务抓紧抓实。</w:t>
      </w:r>
    </w:p>
    <w:p w14:paraId="1B78657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（一）带头深入学习贯彻习近平法治思想。</w:t>
      </w:r>
      <w:r>
        <w:rPr>
          <w:rFonts w:hint="eastAsia" w:ascii="仿宋_GB2312" w:hAnsi="仿宋_GB2312" w:eastAsia="仿宋_GB2312" w:cs="仿宋_GB2312"/>
          <w:sz w:val="32"/>
          <w:szCs w:val="32"/>
        </w:rPr>
        <w:t>党委书记、镇长坚持率先垂范，通过党委会议、理论学习中心组等方式，带头学习习近平法治思想和中央关于全面依法治国的重大决策部署，深刻把握其核心要义和实践要求，并将其转化为推动全镇法治建设的思路举措和生动实践。</w:t>
      </w:r>
    </w:p>
    <w:p w14:paraId="5065152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（二）亲自部署推动法治建设重点任务。</w:t>
      </w:r>
      <w:r>
        <w:rPr>
          <w:rFonts w:hint="eastAsia" w:ascii="仿宋_GB2312" w:hAnsi="仿宋_GB2312" w:eastAsia="仿宋_GB2312" w:cs="仿宋_GB2312"/>
          <w:sz w:val="32"/>
          <w:szCs w:val="32"/>
        </w:rPr>
        <w:t>将法治政府建设纳入全镇年度工作要点，主持召开法治建设专题会议4次，听取法治工作汇报，研究审定法治政府建设年度计划、考核方案等，对重大法治建设事项亲自过问、亲自协调、亲自督办。确保法治建设与经济社会发展同部署、同推进。</w:t>
      </w:r>
    </w:p>
    <w:p w14:paraId="067CB22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（三）严格执行依法科学民主决策。</w:t>
      </w:r>
      <w:r>
        <w:rPr>
          <w:rFonts w:hint="eastAsia" w:ascii="仿宋_GB2312" w:hAnsi="仿宋_GB2312" w:eastAsia="仿宋_GB2312" w:cs="仿宋_GB2312"/>
          <w:sz w:val="32"/>
          <w:szCs w:val="32"/>
        </w:rPr>
        <w:t>坚持民主集中制，对“三重一大”事项均提交党委会集体研究决定。严格落实合法性审查程序，确保各项决策符合法律法规和政策规定。督促领导班子其他成员和各部门负责人依法办事，未发生因行政决策失误或违法行政引发重大群体性事件、重大安全事故的情况。</w:t>
      </w:r>
    </w:p>
    <w:p w14:paraId="364D047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（四）高度重视法治素养提升和队伍建设。</w:t>
      </w:r>
      <w:r>
        <w:rPr>
          <w:rFonts w:hint="eastAsia" w:ascii="仿宋_GB2312" w:hAnsi="仿宋_GB2312" w:eastAsia="仿宋_GB2312" w:cs="仿宋_GB2312"/>
          <w:sz w:val="32"/>
          <w:szCs w:val="32"/>
        </w:rPr>
        <w:t>将法治学习作为干部教育的重中之重，支持并参与各类法治培训活动。强调要将依法行政能力作为选拔任用干部的重要参考，努力打造一支德才兼备的高素质法治工作队伍。</w:t>
      </w:r>
    </w:p>
    <w:p w14:paraId="37FC43A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（五）自觉维护司法权威，支持司法机关依法独立行使职权。</w:t>
      </w:r>
      <w:r>
        <w:rPr>
          <w:rFonts w:hint="eastAsia" w:ascii="仿宋_GB2312" w:hAnsi="仿宋_GB2312" w:eastAsia="仿宋_GB2312" w:cs="仿宋_GB2312"/>
          <w:sz w:val="32"/>
          <w:szCs w:val="32"/>
        </w:rPr>
        <w:t xml:space="preserve"> 认真落实出庭应诉制度，尊重并执行司法机关生效裁判。加强对司法活动的监督，确保司法公正。</w:t>
      </w:r>
    </w:p>
    <w:p w14:paraId="54B353E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四、下一年度推进法治政府建设的主要安排</w:t>
      </w:r>
    </w:p>
    <w:p w14:paraId="39D75B0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2026年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我镇将坚持问题导向，聚焦短板弱项，持续发力，推动法治政府建设再上新台阶。</w:t>
      </w:r>
    </w:p>
    <w:p w14:paraId="6A0C578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（一）在深化思想引领上再发力。</w:t>
      </w:r>
      <w:r>
        <w:rPr>
          <w:rFonts w:hint="eastAsia" w:ascii="仿宋_GB2312" w:hAnsi="仿宋_GB2312" w:eastAsia="仿宋_GB2312" w:cs="仿宋_GB2312"/>
          <w:sz w:val="32"/>
          <w:szCs w:val="32"/>
        </w:rPr>
        <w:t>持续将学习贯彻习近平法治思想作为首要政治任务，</w:t>
      </w:r>
      <w:r>
        <w:rPr>
          <w:rFonts w:hint="eastAsia" w:ascii="仿宋_GB2312" w:hAnsi="仿宋_GB2312" w:eastAsia="仿宋_GB2312" w:cs="仿宋_GB2312"/>
          <w:sz w:val="32"/>
          <w:szCs w:val="32"/>
          <w:lang w:eastAsia="zh-CN"/>
        </w:rPr>
        <w:t>充分利用“法宣在线”答题平台、“湟中普法”等微信公众号适时推行法律知识，</w:t>
      </w:r>
      <w:r>
        <w:rPr>
          <w:rFonts w:hint="eastAsia" w:ascii="仿宋_GB2312" w:hAnsi="仿宋_GB2312" w:eastAsia="仿宋_GB2312" w:cs="仿宋_GB2312"/>
          <w:sz w:val="32"/>
          <w:szCs w:val="32"/>
        </w:rPr>
        <w:t>教育引导全镇干部职工深刻领会其精神实质，切实增强运用法治思维和法治方式深化改革、推动发展、化解矛盾、维护稳定、应对风险的能力。</w:t>
      </w:r>
    </w:p>
    <w:p w14:paraId="4533D54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（二）在规范权力运行上再严格。</w:t>
      </w:r>
      <w:r>
        <w:rPr>
          <w:rFonts w:hint="eastAsia" w:ascii="仿宋_GB2312" w:hAnsi="仿宋_GB2312" w:eastAsia="仿宋_GB2312" w:cs="仿宋_GB2312"/>
          <w:sz w:val="32"/>
          <w:szCs w:val="32"/>
        </w:rPr>
        <w:t>进一步完善重大行政决策程序制度，强化决策后评估和责任追究。深化行政执法“三项制度”，加强执法队伍专业化、规范化建设，组织开展针对性强的执法业务培训和实战演练。强化对行政权力的制约和监督，全面推进政务公开标准化规范化。</w:t>
      </w:r>
    </w:p>
    <w:p w14:paraId="0A7F8A7A">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（三）在普法宣传实效上再创新。</w:t>
      </w:r>
      <w:r>
        <w:rPr>
          <w:rFonts w:hint="eastAsia" w:ascii="仿宋_GB2312" w:hAnsi="仿宋_GB2312" w:eastAsia="仿宋_GB2312" w:cs="仿宋_GB2312"/>
          <w:sz w:val="32"/>
          <w:szCs w:val="32"/>
        </w:rPr>
        <w:t>实施“精准普法”工程，针对不同群体需求，开发制作更接地气、更具吸引力的普法产品。大力拓展“互联网+法治宣传”新模式，提升新媒体普法矩阵的传播力、影响力。加强法治文化阵地建设，推动形成办事依法、遇事找法、解决问题用法、化解矛盾靠法的社会氛围。充分适应信息化时代特点和当前群众获取信息的新习惯，积极开拓线上宣传渠道，让</w:t>
      </w:r>
      <w:r>
        <w:rPr>
          <w:rFonts w:hint="eastAsia" w:ascii="仿宋_GB2312" w:hAnsi="仿宋_GB2312" w:eastAsia="仿宋_GB2312" w:cs="仿宋_GB2312"/>
          <w:sz w:val="32"/>
          <w:szCs w:val="32"/>
          <w:lang w:eastAsia="zh-CN"/>
        </w:rPr>
        <w:t>法律</w:t>
      </w:r>
      <w:r>
        <w:rPr>
          <w:rFonts w:hint="eastAsia" w:ascii="仿宋_GB2312" w:hAnsi="仿宋_GB2312" w:eastAsia="仿宋_GB2312" w:cs="仿宋_GB2312"/>
          <w:sz w:val="32"/>
          <w:szCs w:val="32"/>
        </w:rPr>
        <w:t>知识触手可及。</w:t>
      </w:r>
      <w:r>
        <w:rPr>
          <w:rFonts w:hint="eastAsia" w:ascii="仿宋_GB2312" w:hAnsi="仿宋_GB2312" w:eastAsia="仿宋_GB2312" w:cs="仿宋_GB2312"/>
          <w:b/>
          <w:bCs/>
          <w:sz w:val="32"/>
          <w:szCs w:val="32"/>
          <w:lang w:eastAsia="zh-CN"/>
        </w:rPr>
        <w:t>一是</w:t>
      </w:r>
      <w:r>
        <w:rPr>
          <w:rFonts w:hint="eastAsia" w:ascii="仿宋_GB2312" w:hAnsi="仿宋_GB2312" w:eastAsia="仿宋_GB2312" w:cs="仿宋_GB2312"/>
          <w:b/>
          <w:bCs/>
          <w:sz w:val="32"/>
          <w:szCs w:val="32"/>
        </w:rPr>
        <w:t>微信公众号精准推送</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依托“淳美田家寨”微信公众号平台，连续推送系列图文并茂、通俗易懂的宣传内容，使群众在指尖滑动间就能学习</w:t>
      </w:r>
      <w:r>
        <w:rPr>
          <w:rFonts w:hint="eastAsia" w:ascii="仿宋_GB2312" w:hAnsi="仿宋_GB2312" w:eastAsia="仿宋_GB2312" w:cs="仿宋_GB2312"/>
          <w:sz w:val="32"/>
          <w:szCs w:val="32"/>
          <w:lang w:eastAsia="zh-CN"/>
        </w:rPr>
        <w:t>法律知识</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提升素养</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lang w:eastAsia="zh-CN"/>
        </w:rPr>
        <w:t>二是邻里牵手群广泛覆盖：</w:t>
      </w:r>
      <w:r>
        <w:rPr>
          <w:rFonts w:hint="eastAsia" w:ascii="仿宋_GB2312" w:hAnsi="仿宋_GB2312" w:eastAsia="仿宋_GB2312" w:cs="仿宋_GB2312"/>
          <w:sz w:val="32"/>
          <w:szCs w:val="32"/>
        </w:rPr>
        <w:t>有效利用已建立完善的各村（社区）“邻里牵手”微信群网络体系，定期将</w:t>
      </w:r>
      <w:r>
        <w:rPr>
          <w:rFonts w:hint="eastAsia" w:ascii="仿宋_GB2312" w:hAnsi="仿宋_GB2312" w:eastAsia="仿宋_GB2312" w:cs="仿宋_GB2312"/>
          <w:sz w:val="32"/>
          <w:szCs w:val="32"/>
          <w:lang w:eastAsia="zh-CN"/>
        </w:rPr>
        <w:t>各级普法</w:t>
      </w:r>
      <w:r>
        <w:rPr>
          <w:rFonts w:hint="eastAsia" w:ascii="仿宋_GB2312" w:hAnsi="仿宋_GB2312" w:eastAsia="仿宋_GB2312" w:cs="仿宋_GB2312"/>
          <w:sz w:val="32"/>
          <w:szCs w:val="32"/>
        </w:rPr>
        <w:t>微信公众号的优质内容及时转发至各群组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使微信群成为传播</w:t>
      </w:r>
      <w:r>
        <w:rPr>
          <w:rFonts w:hint="eastAsia" w:ascii="仿宋_GB2312" w:hAnsi="仿宋_GB2312" w:eastAsia="仿宋_GB2312" w:cs="仿宋_GB2312"/>
          <w:sz w:val="32"/>
          <w:szCs w:val="32"/>
          <w:lang w:eastAsia="zh-CN"/>
        </w:rPr>
        <w:t>法律知识</w:t>
      </w:r>
      <w:r>
        <w:rPr>
          <w:rFonts w:hint="eastAsia" w:ascii="仿宋_GB2312" w:hAnsi="仿宋_GB2312" w:eastAsia="仿宋_GB2312" w:cs="仿宋_GB2312"/>
          <w:sz w:val="32"/>
          <w:szCs w:val="32"/>
        </w:rPr>
        <w:t>、促进邻里和睦的“微课堂”和“连心桥”，实现</w:t>
      </w:r>
      <w:r>
        <w:rPr>
          <w:rFonts w:hint="eastAsia" w:ascii="仿宋_GB2312" w:hAnsi="仿宋_GB2312" w:eastAsia="仿宋_GB2312" w:cs="仿宋_GB2312"/>
          <w:sz w:val="32"/>
          <w:szCs w:val="32"/>
          <w:lang w:eastAsia="zh-CN"/>
        </w:rPr>
        <w:t>法律法规</w:t>
      </w:r>
      <w:r>
        <w:rPr>
          <w:rFonts w:hint="eastAsia" w:ascii="仿宋_GB2312" w:hAnsi="仿宋_GB2312" w:eastAsia="仿宋_GB2312" w:cs="仿宋_GB2312"/>
          <w:sz w:val="32"/>
          <w:szCs w:val="32"/>
        </w:rPr>
        <w:t>在基层群众中的快速直达和广泛覆盖。</w:t>
      </w:r>
    </w:p>
    <w:p w14:paraId="616419D4">
      <w:pPr>
        <w:keepNext w:val="0"/>
        <w:keepLines w:val="0"/>
        <w:pageBreakBefore w:val="0"/>
        <w:widowControl/>
        <w:numPr>
          <w:ilvl w:val="0"/>
          <w:numId w:val="0"/>
        </w:numPr>
        <w:tabs>
          <w:tab w:val="left" w:pos="1652"/>
          <w:tab w:val="left" w:pos="2520"/>
        </w:tabs>
        <w:kinsoku/>
        <w:wordWrap/>
        <w:overflowPunct/>
        <w:topLinePunct w:val="0"/>
        <w:autoSpaceDE/>
        <w:autoSpaceDN/>
        <w:bidi w:val="0"/>
        <w:adjustRightInd w:val="0"/>
        <w:snapToGrid w:val="0"/>
        <w:spacing w:line="576" w:lineRule="exact"/>
        <w:ind w:firstLine="643" w:firstLineChars="200"/>
        <w:contextualSpacing/>
        <w:jc w:val="both"/>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（四）在化解矛盾纠纷上再优化。</w:t>
      </w:r>
      <w:r>
        <w:rPr>
          <w:rFonts w:hint="eastAsia" w:ascii="仿宋_GB2312" w:hAnsi="仿宋_GB2312" w:eastAsia="仿宋_GB2312" w:cs="仿宋_GB2312"/>
          <w:sz w:val="32"/>
          <w:szCs w:val="32"/>
        </w:rPr>
        <w:t>健全完善源头预防、排查预警、多元化解的矛盾纠纷化解机制。加强人民调解员队伍建设，提升专业化水平。持续畅通信访渠道，引导群众依法理性表达诉求，维护良好信访秩序。</w:t>
      </w:r>
      <w:r>
        <w:rPr>
          <w:rFonts w:hint="eastAsia" w:ascii="仿宋_GB2312" w:hAnsi="仿宋_GB2312" w:eastAsia="仿宋_GB2312" w:cs="仿宋_GB2312"/>
          <w:bCs/>
          <w:kern w:val="0"/>
          <w:sz w:val="32"/>
          <w:szCs w:val="32"/>
          <w:highlight w:val="none"/>
        </w:rPr>
        <w:t>深化问题排查，组织镇村干部常态化开展</w:t>
      </w:r>
      <w:r>
        <w:rPr>
          <w:rFonts w:hint="eastAsia" w:ascii="仿宋_GB2312" w:hAnsi="仿宋_GB2312" w:eastAsia="仿宋_GB2312" w:cs="仿宋_GB2312"/>
          <w:bCs/>
          <w:kern w:val="0"/>
          <w:sz w:val="32"/>
          <w:szCs w:val="32"/>
          <w:highlight w:val="none"/>
          <w:lang w:eastAsia="zh-CN"/>
        </w:rPr>
        <w:t>“</w:t>
      </w:r>
      <w:r>
        <w:rPr>
          <w:rFonts w:hint="eastAsia" w:ascii="仿宋_GB2312" w:hAnsi="仿宋_GB2312" w:eastAsia="仿宋_GB2312" w:cs="仿宋_GB2312"/>
          <w:bCs/>
          <w:kern w:val="0"/>
          <w:sz w:val="32"/>
          <w:szCs w:val="32"/>
          <w:highlight w:val="none"/>
        </w:rPr>
        <w:t>入户听诉</w:t>
      </w:r>
      <w:r>
        <w:rPr>
          <w:rFonts w:hint="eastAsia" w:ascii="仿宋_GB2312" w:hAnsi="仿宋_GB2312" w:eastAsia="仿宋_GB2312" w:cs="仿宋_GB2312"/>
          <w:bCs/>
          <w:kern w:val="0"/>
          <w:sz w:val="32"/>
          <w:szCs w:val="32"/>
          <w:highlight w:val="none"/>
          <w:lang w:eastAsia="zh-CN"/>
        </w:rPr>
        <w:t>”</w:t>
      </w:r>
      <w:r>
        <w:rPr>
          <w:rFonts w:hint="eastAsia" w:ascii="仿宋_GB2312" w:hAnsi="仿宋_GB2312" w:eastAsia="仿宋_GB2312" w:cs="仿宋_GB2312"/>
          <w:bCs/>
          <w:kern w:val="0"/>
          <w:sz w:val="32"/>
          <w:szCs w:val="32"/>
          <w:highlight w:val="none"/>
        </w:rPr>
        <w:t>行动，聚焦就业、医疗、养老等民生领域，通过线上问卷、线下座谈等方式广泛征集群众诉求，建立</w:t>
      </w:r>
      <w:r>
        <w:rPr>
          <w:rFonts w:hint="eastAsia" w:ascii="仿宋_GB2312" w:hAnsi="仿宋_GB2312" w:eastAsia="仿宋_GB2312" w:cs="仿宋_GB2312"/>
          <w:bCs/>
          <w:kern w:val="0"/>
          <w:sz w:val="32"/>
          <w:szCs w:val="32"/>
          <w:highlight w:val="none"/>
          <w:lang w:eastAsia="zh-CN"/>
        </w:rPr>
        <w:t>“</w:t>
      </w:r>
      <w:r>
        <w:rPr>
          <w:rFonts w:hint="eastAsia" w:ascii="仿宋_GB2312" w:hAnsi="仿宋_GB2312" w:eastAsia="仿宋_GB2312" w:cs="仿宋_GB2312"/>
          <w:bCs/>
          <w:kern w:val="0"/>
          <w:sz w:val="32"/>
          <w:szCs w:val="32"/>
          <w:highlight w:val="none"/>
        </w:rPr>
        <w:t>急难愁盼</w:t>
      </w:r>
      <w:r>
        <w:rPr>
          <w:rFonts w:hint="eastAsia" w:ascii="仿宋_GB2312" w:hAnsi="仿宋_GB2312" w:eastAsia="仿宋_GB2312" w:cs="仿宋_GB2312"/>
          <w:bCs/>
          <w:kern w:val="0"/>
          <w:sz w:val="32"/>
          <w:szCs w:val="32"/>
          <w:highlight w:val="none"/>
          <w:lang w:eastAsia="zh-CN"/>
        </w:rPr>
        <w:t>”</w:t>
      </w:r>
      <w:r>
        <w:rPr>
          <w:rFonts w:hint="eastAsia" w:ascii="仿宋_GB2312" w:hAnsi="仿宋_GB2312" w:eastAsia="仿宋_GB2312" w:cs="仿宋_GB2312"/>
          <w:bCs/>
          <w:kern w:val="0"/>
          <w:sz w:val="32"/>
          <w:szCs w:val="32"/>
          <w:highlight w:val="none"/>
        </w:rPr>
        <w:t>台账，实行清单化管理、动态化更新。</w:t>
      </w:r>
      <w:r>
        <w:rPr>
          <w:rFonts w:hint="eastAsia" w:ascii="仿宋_GB2312" w:hAnsi="仿宋_GB2312" w:eastAsia="仿宋_GB2312" w:cs="仿宋_GB2312"/>
          <w:bCs/>
          <w:kern w:val="0"/>
          <w:sz w:val="32"/>
          <w:szCs w:val="32"/>
          <w:highlight w:val="none"/>
          <w:lang w:val="en-US" w:eastAsia="zh-CN"/>
        </w:rPr>
        <w:t>同时，</w:t>
      </w:r>
      <w:r>
        <w:rPr>
          <w:rFonts w:hint="eastAsia" w:ascii="仿宋_GB2312" w:hAnsi="仿宋_GB2312" w:eastAsia="仿宋_GB2312" w:cs="仿宋_GB2312"/>
          <w:bCs/>
          <w:kern w:val="0"/>
          <w:sz w:val="32"/>
          <w:szCs w:val="32"/>
          <w:highlight w:val="none"/>
        </w:rPr>
        <w:t>对台账中涉及的突出问题，明确分管领导牵头、责任科室承办，设定解决时限，定期召开推进会督办进度，对复杂问题实行</w:t>
      </w:r>
      <w:r>
        <w:rPr>
          <w:rFonts w:hint="eastAsia" w:ascii="仿宋_GB2312" w:hAnsi="仿宋_GB2312" w:eastAsia="仿宋_GB2312" w:cs="仿宋_GB2312"/>
          <w:bCs/>
          <w:kern w:val="0"/>
          <w:sz w:val="32"/>
          <w:szCs w:val="32"/>
          <w:highlight w:val="none"/>
          <w:lang w:eastAsia="zh-CN"/>
        </w:rPr>
        <w:t>“</w:t>
      </w:r>
      <w:r>
        <w:rPr>
          <w:rFonts w:hint="eastAsia" w:ascii="仿宋_GB2312" w:hAnsi="仿宋_GB2312" w:eastAsia="仿宋_GB2312" w:cs="仿宋_GB2312"/>
          <w:bCs/>
          <w:kern w:val="0"/>
          <w:sz w:val="32"/>
          <w:szCs w:val="32"/>
          <w:highlight w:val="none"/>
        </w:rPr>
        <w:t>一事一议</w:t>
      </w:r>
      <w:r>
        <w:rPr>
          <w:rFonts w:hint="eastAsia" w:ascii="仿宋_GB2312" w:hAnsi="仿宋_GB2312" w:eastAsia="仿宋_GB2312" w:cs="仿宋_GB2312"/>
          <w:bCs/>
          <w:kern w:val="0"/>
          <w:sz w:val="32"/>
          <w:szCs w:val="32"/>
          <w:highlight w:val="none"/>
          <w:lang w:eastAsia="zh-CN"/>
        </w:rPr>
        <w:t>”</w:t>
      </w:r>
      <w:r>
        <w:rPr>
          <w:rFonts w:hint="eastAsia" w:ascii="仿宋_GB2312" w:hAnsi="仿宋_GB2312" w:eastAsia="仿宋_GB2312" w:cs="仿宋_GB2312"/>
          <w:bCs/>
          <w:kern w:val="0"/>
          <w:sz w:val="32"/>
          <w:szCs w:val="32"/>
          <w:highlight w:val="none"/>
        </w:rPr>
        <w:t>，确保事事有回音。</w:t>
      </w:r>
    </w:p>
    <w:p w14:paraId="2F7E6CB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（五）在强化组织保障上再加强。</w:t>
      </w:r>
      <w:r>
        <w:rPr>
          <w:rFonts w:hint="eastAsia" w:ascii="仿宋_GB2312" w:hAnsi="仿宋_GB2312" w:eastAsia="仿宋_GB2312" w:cs="仿宋_GB2312"/>
          <w:sz w:val="32"/>
          <w:szCs w:val="32"/>
        </w:rPr>
        <w:t>进一步压实领导干部法治建设责任，完善考核评价机制。加大对法治建设的投入，保障必要的人员、经费和装备。</w:t>
      </w:r>
      <w:r>
        <w:rPr>
          <w:rFonts w:hint="eastAsia" w:ascii="仿宋_GB2312" w:hAnsi="仿宋_GB2312" w:eastAsia="仿宋_GB2312" w:cs="仿宋_GB2312"/>
          <w:sz w:val="32"/>
          <w:szCs w:val="32"/>
          <w:lang w:eastAsia="zh-CN"/>
        </w:rPr>
        <w:t>联合司法所通过举办讲座、法律培训班，</w:t>
      </w:r>
      <w:r>
        <w:rPr>
          <w:rFonts w:hint="eastAsia" w:ascii="仿宋_GB2312" w:hAnsi="仿宋_GB2312" w:eastAsia="仿宋_GB2312" w:cs="仿宋_GB2312"/>
          <w:sz w:val="32"/>
          <w:szCs w:val="32"/>
        </w:rPr>
        <w:t>加强法治工作队伍的业务指导和培训，为法治政府建设提供坚实的人才支撑。</w:t>
      </w:r>
    </w:p>
    <w:p w14:paraId="19F89E8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3B1FB796">
      <w:pPr>
        <w:keepNext w:val="0"/>
        <w:keepLines w:val="0"/>
        <w:pageBreakBefore w:val="0"/>
        <w:widowControl w:val="0"/>
        <w:kinsoku/>
        <w:wordWrap/>
        <w:overflowPunct/>
        <w:topLinePunct w:val="0"/>
        <w:autoSpaceDE/>
        <w:autoSpaceDN/>
        <w:bidi w:val="0"/>
        <w:adjustRightInd/>
        <w:snapToGrid/>
        <w:spacing w:line="560" w:lineRule="exact"/>
        <w:ind w:firstLine="3520" w:firstLineChars="1100"/>
        <w:textAlignment w:val="auto"/>
        <w:rPr>
          <w:rFonts w:hint="eastAsia" w:ascii="仿宋_GB2312" w:hAnsi="仿宋_GB2312" w:eastAsia="仿宋_GB2312" w:cs="仿宋_GB2312"/>
          <w:sz w:val="32"/>
          <w:szCs w:val="32"/>
          <w:lang w:eastAsia="zh-CN"/>
        </w:rPr>
      </w:pPr>
    </w:p>
    <w:p w14:paraId="5BE82BDD">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textAlignment w:val="auto"/>
        <w:outlineLvl w:val="9"/>
        <w:rPr>
          <w:rFonts w:hint="eastAsia" w:ascii="仿宋_GB2312" w:hAnsi="仿宋_GB2312" w:eastAsia="仿宋_GB2312" w:cs="仿宋_GB2312"/>
          <w:sz w:val="32"/>
          <w:szCs w:val="32"/>
        </w:rPr>
      </w:pP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仿宋_GB2312"/>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汉仪字酷堂长林体W">
    <w:panose1 w:val="00020600040101010101"/>
    <w:charset w:val="86"/>
    <w:family w:val="auto"/>
    <w:pitch w:val="default"/>
    <w:sig w:usb0="8000003F" w:usb1="1AC104FA" w:usb2="00000016" w:usb3="00000000" w:csb0="0004009F" w:csb1="00000000"/>
  </w:font>
  <w:font w:name="汉仪正圆 55简">
    <w:altName w:val="宋体"/>
    <w:panose1 w:val="00020600040101010101"/>
    <w:charset w:val="86"/>
    <w:family w:val="roman"/>
    <w:pitch w:val="default"/>
    <w:sig w:usb0="00000000" w:usb1="00000000" w:usb2="00000016" w:usb3="00000000" w:csb0="0004009F" w:csb1="00000000"/>
  </w:font>
  <w:font w:name="汉仪大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40D380">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B7177E">
                          <w:pPr>
                            <w:pStyle w:val="3"/>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4B7177E">
                    <w:pPr>
                      <w:pStyle w:val="3"/>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3515C8"/>
    <w:rsid w:val="08E345F5"/>
    <w:rsid w:val="0C676F35"/>
    <w:rsid w:val="12337541"/>
    <w:rsid w:val="18EB2C9C"/>
    <w:rsid w:val="1D44297A"/>
    <w:rsid w:val="21617F9F"/>
    <w:rsid w:val="223B259E"/>
    <w:rsid w:val="3A527448"/>
    <w:rsid w:val="3D7B5AED"/>
    <w:rsid w:val="4634069A"/>
    <w:rsid w:val="47673816"/>
    <w:rsid w:val="49AB59AC"/>
    <w:rsid w:val="4E7E368F"/>
    <w:rsid w:val="501A1195"/>
    <w:rsid w:val="5B4F263B"/>
    <w:rsid w:val="6D3515C8"/>
    <w:rsid w:val="702754DC"/>
    <w:rsid w:val="7B007B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line="360" w:lineRule="exact"/>
    </w:pPr>
    <w:rPr>
      <w:sz w:val="28"/>
      <w:szCs w:val="24"/>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4288</Words>
  <Characters>4337</Characters>
  <Lines>0</Lines>
  <Paragraphs>0</Paragraphs>
  <TotalTime>0</TotalTime>
  <ScaleCrop>false</ScaleCrop>
  <LinksUpToDate>false</LinksUpToDate>
  <CharactersWithSpaces>4433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2025-11-27T02:51:00Z</dcterms:created>
  <dc:creator>雲破月來花弄影</dc:creator>
  <cp:lastModifiedBy>心安</cp:lastModifiedBy>
  <dcterms:modified xsi:type="dcterms:W3CDTF">2026-03-19T01:10:13Z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5D3F2400185E4D8F9D5796485A2E88D2_11</vt:lpwstr>
  </property>
  <property fmtid="{D5CDD505-2E9C-101B-9397-08002B2CF9AE}" pid="4" name="KSOTemplateDocerSaveRecord">
    <vt:lpwstr>eyJoZGlkIjoiNTk1ZmVkMTdkZGI2OWQ1MmFkZDY3ZDE5OTQxZmMxODYiLCJ1c2VySWQiOiI3NzI1MjYxNTUifQ==</vt:lpwstr>
  </property>
</Properties>
</file>