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C2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等线" w:eastAsia="方正小标宋简体" w:cs="宋体"/>
          <w:kern w:val="2"/>
          <w:sz w:val="44"/>
          <w:szCs w:val="44"/>
          <w:lang w:val="en-US" w:eastAsia="zh-CN" w:bidi="ar-SA"/>
        </w:rPr>
      </w:pPr>
      <w:bookmarkStart w:id="0" w:name="OLE_LINK4"/>
      <w:r>
        <w:rPr>
          <w:rFonts w:hint="eastAsia" w:ascii="方正小标宋简体" w:hAnsi="等线" w:eastAsia="方正小标宋简体" w:cs="宋体"/>
          <w:kern w:val="2"/>
          <w:sz w:val="44"/>
          <w:szCs w:val="44"/>
          <w:lang w:val="en-US" w:eastAsia="zh-CN" w:bidi="ar-SA"/>
        </w:rPr>
        <w:t>西宁市湟中区人力资源和社会保障局</w:t>
      </w:r>
    </w:p>
    <w:p w14:paraId="5FA3E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等线" w:eastAsia="方正小标宋简体" w:cs="宋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等线" w:eastAsia="方正小标宋简体" w:cs="宋体"/>
          <w:kern w:val="2"/>
          <w:sz w:val="44"/>
          <w:szCs w:val="44"/>
          <w:lang w:val="en-US" w:eastAsia="zh-CN" w:bidi="ar-SA"/>
        </w:rPr>
        <w:t>关于2025年法治政府建设情况报告</w:t>
      </w:r>
      <w:bookmarkEnd w:id="0"/>
    </w:p>
    <w:p w14:paraId="0587F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等线" w:eastAsia="方正小标宋简体" w:cs="宋体"/>
          <w:kern w:val="2"/>
          <w:sz w:val="44"/>
          <w:szCs w:val="44"/>
          <w:lang w:val="en-US" w:eastAsia="zh-CN" w:bidi="ar-SA"/>
        </w:rPr>
      </w:pPr>
    </w:p>
    <w:p w14:paraId="6B251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2025年，湟中区人社局在区委、区政府的正确领导下，坚持以习近平法治思想为指导，紧扣法治政府建设目标，将法治理念深度融入人社业务全流程，同时扎实履行党政主要负责人法治建设第一责任人职责，不断提升依法行政水平，现将全年工作情况报告如下：</w:t>
      </w:r>
    </w:p>
    <w:p w14:paraId="7E8D6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宋体" w:eastAsia="黑体" w:cs="Times New Roman"/>
          <w:b w:val="0"/>
          <w:bCs w:val="0"/>
          <w:snapToGrid w:val="0"/>
          <w:kern w:val="2"/>
          <w:sz w:val="32"/>
          <w:szCs w:val="32"/>
          <w:lang w:val="en-US" w:eastAsia="zh-CN" w:bidi="zh-CN"/>
        </w:rPr>
      </w:pPr>
      <w:r>
        <w:rPr>
          <w:rFonts w:hint="eastAsia" w:ascii="黑体" w:hAnsi="宋体" w:eastAsia="黑体" w:cs="Times New Roman"/>
          <w:b w:val="0"/>
          <w:bCs w:val="0"/>
          <w:snapToGrid w:val="0"/>
          <w:kern w:val="2"/>
          <w:sz w:val="32"/>
          <w:szCs w:val="32"/>
          <w:lang w:val="en-US" w:eastAsia="zh-CN" w:bidi="zh-CN"/>
        </w:rPr>
        <w:t>一、主要举措及成效</w:t>
      </w:r>
    </w:p>
    <w:p w14:paraId="547ED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（一）健全法治工作机制，夯实建设根基。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明确法治建设工作职责分工，形成主要领导亲自抓、分管领导具体抓、局属各单位、各科室协同配合的工作格局。全年共召开4次普法及法治建设、依法行政专题会议，精准破解工作推进中的重点难点问题。结合“八五”普法规划，制定年度《学法普法工作计划》及责任清单，将普法任务细化至岗位、落实到个人，每季度召开1次普法工作部署会，确保法治工作有序衔接、闭环推进。</w:t>
      </w:r>
    </w:p>
    <w:p w14:paraId="40F13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（二）深化法治宣传教育，营造浓厚氛围。</w:t>
      </w:r>
      <w:r>
        <w:rPr>
          <w:rFonts w:ascii="仿宋_GB2312" w:hAnsi="宋体" w:eastAsia="仿宋_GB2312" w:cs="仿宋_GB2312"/>
          <w:i w:val="0"/>
          <w:caps w:val="0"/>
          <w:spacing w:val="8"/>
          <w:sz w:val="31"/>
          <w:szCs w:val="31"/>
          <w:shd w:val="clear" w:fill="FFFFFF"/>
        </w:rPr>
        <w:t>全面落实普法宣传责任制</w:t>
      </w:r>
      <w:r>
        <w:rPr>
          <w:rFonts w:hint="eastAsia" w:ascii="仿宋_GB2312" w:hAnsi="宋体" w:eastAsia="仿宋_GB2312" w:cs="仿宋_GB2312"/>
          <w:i w:val="0"/>
          <w:caps w:val="0"/>
          <w:spacing w:val="8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以分层、分类普法为抓手，提升宣传实效性，将习近平法治思想作为领导干部学习的“必修课”，党组理论学习中心组共开展4次习近平法治思想专题学习，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积极推动全局干部职工学法用法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通过举办“人社青年课堂”等形式，学习《劳动法》《社会保险法》《就业促进法》等与人社业务密切相关的法律法规，不断提高干部职工的法治意识和业务能力。强化法治宣传落实普法责任,广泛宣传人社领域政策法规。线上，利用微信公众号等平台发布政策法规解读文章30余篇，线下，深入企业、社区、工地开展宣传活动8场次，发放宣传资料5000余份，解答群众咨询800余人次，营造了良好的法治氛围。此外，我局创新开展企业“法治体检”专项服务，结合“春风行动”“根治欠薪冬季专项行动”等节点开展主题宣传，针对性提升不同群体对人社领域政策及法规的知晓度。</w:t>
      </w:r>
    </w:p>
    <w:p w14:paraId="69D92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" w:name="OLE_LINK1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（三）</w:t>
      </w:r>
      <w:bookmarkStart w:id="2" w:name="OLE_LINK2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规范行政执法行为，提升执法质效。</w:t>
      </w:r>
      <w:bookmarkEnd w:id="2"/>
      <w:bookmarkStart w:id="3" w:name="OLE_LINK3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完善单位行政执法管理，深入开展法治学习教育、培训研讨、以案释法等活动，确保执法人员在执法过程中做到主体合法，程序合法，适用法律正确。全面落实行政执法“三项制度”，组织28名执法人员参加资格培训考试，强化执法队伍专业化建设，不断提高执法工作人员运用法治思维、法治方式推进工作的能力，提高了执法的规范性、公正性和透明度。加大劳动保障监察力度，全年检查用人单位105家，开展建筑领域专项检查4次，督促整改问题115个；受理欠薪案件81件，为219名农民工追发工资164.64万元，结案率为100%，切实筑牢劳动者权益防线。</w:t>
      </w:r>
    </w:p>
    <w:p w14:paraId="3D97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（四）完善纠纷化解体系，维护劳动关系和谐稳定。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加强劳动人事争议调解仲裁工作，完善调解仲裁工作制度和流程。同时，加强调解仲裁信息化建设，通过繁简分流、线上仲裁等措施，案件平均审理周期缩短至38天左右，有效提高了办案效率和质量，真正做到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快调、快立、快审、快结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。2025年共受理劳动争议案件235件，调解成功196件，调解成功率达84.48%，仲裁结案232件，结案率98.72%，有效化解了劳动关系矛盾纠纷，维护了社会稳定。</w:t>
      </w:r>
    </w:p>
    <w:bookmarkEnd w:id="1"/>
    <w:bookmarkEnd w:id="3"/>
    <w:p w14:paraId="32C78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宋体" w:eastAsia="黑体" w:cs="Times New Roman"/>
          <w:b w:val="0"/>
          <w:bCs w:val="0"/>
          <w:snapToGrid w:val="0"/>
          <w:kern w:val="2"/>
          <w:sz w:val="32"/>
          <w:szCs w:val="32"/>
          <w:lang w:val="en-US" w:eastAsia="zh-CN" w:bidi="zh-CN"/>
        </w:rPr>
      </w:pPr>
      <w:r>
        <w:rPr>
          <w:rFonts w:hint="eastAsia" w:ascii="黑体" w:hAnsi="宋体" w:eastAsia="黑体" w:cs="Times New Roman"/>
          <w:b w:val="0"/>
          <w:bCs w:val="0"/>
          <w:snapToGrid w:val="0"/>
          <w:kern w:val="2"/>
          <w:sz w:val="32"/>
          <w:szCs w:val="32"/>
          <w:lang w:val="en-US" w:eastAsia="zh-CN" w:bidi="zh-CN"/>
        </w:rPr>
        <w:t>二、存在的问题及原因</w:t>
      </w:r>
    </w:p>
    <w:p w14:paraId="2CEF5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（一）普法宣传精准度不足。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存在“大水漫灌”现象，对企业、农民工、高校毕业生等不同群体的法律需求区分不足，宣传内容与群众需求结合不够紧密，侧重于法律法规条文解读，缺乏生动具体的案例分析，难以引起群众共鸣。宣传方式较为传统，对新媒体、新技术运用不足，未能充分满足不同群体对人社政策法规的个性化需求，导致部分群众对政策法规知晓度不高。例如，针对新就业形态劳动者的宣传中，未充分考虑其工作时间碎片化、工作地点不固定等特点，导致宣传效果不够理想。针对建筑工地农民工的劳动维权普法活动中，多以发放手册为主，缺乏结合真实欠薪案例的普法宣传，导致部分农民工对“劳动仲裁时效”“证据留存要求”等关键信息理解不深。核心原因是未能精准把握不同群体的法律需求；宣传内容缺乏创新，未能充分利用案例分析等形式提高宣传的吸引力；宣传手段较为单一，未能充分利用新媒体平台扩大宣传的覆盖面。</w:t>
      </w:r>
    </w:p>
    <w:p w14:paraId="258D7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（二）执法人员业务能力参差不齐。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随着人社领域法律法规不断更新完善，行政执法任务日益繁重，但人社局行政执法人员数量相对不足，执法人员在准确理解和运用法律法规方面存在差距。部分执法人员在调查取证、法律适用、文书制作等方面还不够规范，影响执法质量和效率。例如，在处理一些复杂的劳动监察案件时，由于部分执法人员经验不足，导致案件办理周期较长。根源在于执法队伍建设力度不够，未能及时补充执法人员；培训机制不够完善，未能及时有效提升执法人员的业务能力及执法理念。</w:t>
      </w:r>
    </w:p>
    <w:p w14:paraId="231BA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（三）部门协同机制不够完善。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在根治欠薪、维护劳动者权益等工作中，与住建、公安、市场监管等部门协同配合机制还不够完善，信息共享不及时，联合执法行动不够紧密，导致工作合力不足。例如，在处理涉及工程建设领域的欠薪案件以及涉及企业破产、吊销营业执照等情况的劳动争议案件时，与法院、市场监管、住建等部门之间的沟通协调存在障碍，影响案件办理的整体推进。主要原因是部门间缺乏常态化沟通协调机制，信息共享渠道不够畅通；联合执法行动组织协调难度大，难以形成有效合力。</w:t>
      </w:r>
    </w:p>
    <w:p w14:paraId="6AF79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Times New Roman"/>
          <w:b w:val="0"/>
          <w:bCs w:val="0"/>
          <w:snapToGrid w:val="0"/>
          <w:kern w:val="2"/>
          <w:sz w:val="32"/>
          <w:szCs w:val="32"/>
          <w:lang w:val="en-US" w:eastAsia="zh-CN" w:bidi="zh-CN"/>
        </w:rPr>
        <w:t>三、党政主要负责人履行推进法治建设第一责任人职责情况。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将主要负责人履行法治政府建设第一责任人职责落到实处，牵头扛起主体责任，自觉推动法治建设与人社业务深度融合，把各项工作全面纳入法治化轨道，对法治建设重要工作亲自部署、重大问题亲自解决、重点环节亲自协调、重点任务亲自督办，严格执行重大行政决策程序，完善法律顾问制度，确保决策合法合规。切实推动法治建设各项任务全面落实。定期主持召开法治建设专题会议，全年研究部署普法、依法行政等工作4次，统筹解决执法规范、纠纷化解等重点问题。牵头健全法治工作机制，明确责任分工，推动制定年度普法计划和责任清单；督促落实行政执法“三项制度”，组织执法人员资格培训，牵头开展执法案卷评查，规范执法行为；带头推进普法宣传和争议化解，推动“送法上门”“法治体检”等活动落地，协调跨部门工作衔接，确保法治建设各项任务落地见效。</w:t>
      </w:r>
    </w:p>
    <w:p w14:paraId="5F8A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宋体" w:eastAsia="黑体" w:cs="Times New Roman"/>
          <w:b w:val="0"/>
          <w:bCs w:val="0"/>
          <w:snapToGrid w:val="0"/>
          <w:kern w:val="2"/>
          <w:sz w:val="32"/>
          <w:szCs w:val="32"/>
          <w:lang w:val="en-US" w:eastAsia="zh-CN" w:bidi="zh-CN"/>
        </w:rPr>
      </w:pPr>
      <w:r>
        <w:rPr>
          <w:rFonts w:hint="eastAsia" w:ascii="黑体" w:hAnsi="宋体" w:eastAsia="黑体" w:cs="Times New Roman"/>
          <w:b w:val="0"/>
          <w:bCs w:val="0"/>
          <w:snapToGrid w:val="0"/>
          <w:kern w:val="2"/>
          <w:sz w:val="32"/>
          <w:szCs w:val="32"/>
          <w:lang w:val="en-US" w:eastAsia="zh-CN" w:bidi="zh-CN"/>
        </w:rPr>
        <w:t>四</w:t>
      </w:r>
      <w:bookmarkStart w:id="4" w:name="OLE_LINK5"/>
      <w:r>
        <w:rPr>
          <w:rFonts w:hint="eastAsia" w:ascii="黑体" w:hAnsi="宋体" w:eastAsia="黑体" w:cs="Times New Roman"/>
          <w:b w:val="0"/>
          <w:bCs w:val="0"/>
          <w:snapToGrid w:val="0"/>
          <w:kern w:val="2"/>
          <w:sz w:val="32"/>
          <w:szCs w:val="32"/>
          <w:lang w:val="en-US" w:eastAsia="zh-CN" w:bidi="zh-CN"/>
        </w:rPr>
        <w:t>、下一年度主要安排</w:t>
      </w:r>
      <w:bookmarkEnd w:id="4"/>
    </w:p>
    <w:p w14:paraId="684E7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（一）构建精准普法体系。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开展“靶向普法”，了解群众的法律需求和关注点，有针对性地制定法治宣传方案。针对企业，重点开展“劳动合同规范”“社保缴费责任”专题培训；针对农民工用漫画、短视频等方式开展“维权步骤现场教学”。在宣传内容上，增加案例分析、以案说法等内容。在宣传方式上，充分利用新媒体平台，制作通俗易懂的政策法规宣传内容，从而提高群众接受度以及法治宣传的覆盖面和影响力。同时，开展“送法上门”活动，深入企业、社区、工地等进行面对面宣传和指导，及时动态调整普法内容和形式，提升宣传实效性。</w:t>
      </w:r>
    </w:p>
    <w:p w14:paraId="52067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（二）强化执法队伍建设。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严格落实行政执法“三项制度”，加强对行政执法全过程的监督管理。定期组织执法人员业务培训，邀请法律专家、业务骨干授课，学习最新法律法规和执法实务技巧。定期开展执法案卷评查活动，及时发现问题案卷并进行剖析整改，规范执法行为。建立法律顾问全程参与机制，对重大执法决定必须经法律顾问审核。提升执法质量。</w:t>
      </w:r>
    </w:p>
    <w:p w14:paraId="31AB3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（三）健全跨部门协同机制。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进一步完善与相关部门的协同配合机制，建立常态化沟通协调平台，定期召开联席会议，共同研究解决人社领域法治建设中的重点难点问题。加强信息共享，实现数据实时传递和交换。开展联合执法行动，在根治欠薪等工作中，形成强大工作合力。加强与工会、企业代表组织等社会力量的合作，共同参与劳动人事争议调解工作，引导当事人通过协商、调解等非诉讼方式解决争议。</w:t>
      </w:r>
    </w:p>
    <w:p w14:paraId="305B4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56CD9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66121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4D8A1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6A3B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591DD23">
      <w:bookmarkStart w:id="5" w:name="_GoBack"/>
      <w:bookmarkEnd w:id="5"/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8DD5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85E0E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885E0E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79E4"/>
    <w:rsid w:val="116945CF"/>
    <w:rsid w:val="1E526480"/>
    <w:rsid w:val="21394C20"/>
    <w:rsid w:val="2919033C"/>
    <w:rsid w:val="2A361469"/>
    <w:rsid w:val="4341122E"/>
    <w:rsid w:val="453A5C68"/>
    <w:rsid w:val="462C2B5D"/>
    <w:rsid w:val="49F625A0"/>
    <w:rsid w:val="4E0232F9"/>
    <w:rsid w:val="556179E4"/>
    <w:rsid w:val="7107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492"/>
    </w:pPr>
    <w:rPr>
      <w:rFonts w:ascii="微软雅黑" w:hAnsi="微软雅黑" w:eastAsia="微软雅黑" w:cs="微软雅黑"/>
      <w:b/>
      <w:bCs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3003</Words>
  <Characters>3056</Characters>
  <Lines>0</Lines>
  <Paragraphs>0</Paragraphs>
  <TotalTime>15</TotalTime>
  <ScaleCrop>false</ScaleCrop>
  <LinksUpToDate>false</LinksUpToDate>
  <CharactersWithSpaces>3078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2025-11-27T04:31:00Z</dcterms:created>
  <dc:creator>264B4AE91A4194EDE063459312ACEB0E</dc:creator>
  <cp:lastModifiedBy>心安</cp:lastModifiedBy>
  <cp:lastPrinted>2025-11-28T07:30:00Z</cp:lastPrinted>
  <dcterms:modified xsi:type="dcterms:W3CDTF">2026-03-19T08:53:07Z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eyJoZGlkIjoiNTk1ZmVkMTdkZGI2OWQ1MmFkZDY3ZDE5OTQxZmMxODYiLCJ1c2VySWQiOiI3NzI1MjYxNTUifQ==</vt:lpwstr>
  </property>
  <property fmtid="{D5CDD505-2E9C-101B-9397-08002B2CF9AE}" pid="4" name="ICV">
    <vt:lpwstr>91B0E71F36DC425A9D6C91E5CE1E4898_12</vt:lpwstr>
  </property>
</Properties>
</file>