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76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湟中区自然资源局</w:t>
      </w:r>
    </w:p>
    <w:p w14:paraId="0E7D1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2024年法治政府建设情况报告</w:t>
      </w:r>
    </w:p>
    <w:p w14:paraId="4C2A3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0502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一、2024年度推进法治政府建设的主要举措和成效</w:t>
      </w:r>
    </w:p>
    <w:p w14:paraId="20739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（一）开展法律学习，</w:t>
      </w:r>
      <w:r>
        <w:rPr>
          <w:rStyle w:val="5"/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提升业务能力。</w:t>
      </w:r>
      <w:r>
        <w:rPr>
          <w:rFonts w:ascii="Times New Roman" w:hAnsi="Times New Roman" w:eastAsia="仿宋_GB2312"/>
          <w:sz w:val="32"/>
          <w:szCs w:val="32"/>
        </w:rPr>
        <w:t>根据《西宁市湟中区法治政府建设实施方案（2021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/>
          <w:sz w:val="32"/>
          <w:szCs w:val="32"/>
        </w:rPr>
        <w:t>2025年）》文件要求，制发了《西宁市湟中区自然资源局法治政府建设工作方案</w:t>
      </w:r>
      <w:r>
        <w:rPr>
          <w:rFonts w:hint="eastAsia" w:ascii="Times New Roman" w:hAnsi="Times New Roman" w:eastAsia="仿宋_GB2312"/>
          <w:sz w:val="32"/>
          <w:szCs w:val="32"/>
        </w:rPr>
        <w:t>（2021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2025年）</w:t>
      </w:r>
      <w:r>
        <w:rPr>
          <w:rFonts w:ascii="Times New Roman" w:hAnsi="Times New Roman" w:eastAsia="仿宋_GB2312"/>
          <w:sz w:val="32"/>
          <w:szCs w:val="32"/>
        </w:rPr>
        <w:t>》，</w:t>
      </w: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并结合自然资源实际制定法治计划，</w:t>
      </w:r>
      <w:r>
        <w:rPr>
          <w:rFonts w:ascii="Times New Roman" w:hAnsi="仿宋_GB2312" w:eastAsia="仿宋_GB2312"/>
          <w:sz w:val="32"/>
          <w:szCs w:val="32"/>
        </w:rPr>
        <w:t>确保</w:t>
      </w: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今年</w:t>
      </w:r>
      <w:r>
        <w:rPr>
          <w:rFonts w:ascii="Times New Roman" w:hAnsi="仿宋_GB2312" w:eastAsia="仿宋_GB2312"/>
          <w:sz w:val="32"/>
          <w:szCs w:val="32"/>
        </w:rPr>
        <w:t>自然资源</w:t>
      </w: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法治政府</w:t>
      </w:r>
      <w:r>
        <w:rPr>
          <w:rFonts w:ascii="Times New Roman" w:hAnsi="仿宋_GB2312" w:eastAsia="仿宋_GB2312"/>
          <w:sz w:val="32"/>
          <w:szCs w:val="32"/>
        </w:rPr>
        <w:t>建设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全面统筹推进。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同时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通过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集中学、自主学、党课学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、业务科室大讲堂等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，坚持普法与法治实践相结合，强化法治理念、突出法治主题、创新法治形式，切实强化领导班子的法律意识和法律素养，带动全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党员干部懂法学法守法用法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切实强化领导班子的法律意识和法律素养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。同时充分利用“法宣在线”“青海干部网络学院”“学习强国”等平台，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持续推动习近平法治思想学习教育的开展。</w:t>
      </w:r>
    </w:p>
    <w:p w14:paraId="62787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（二）落实法律顾问，做好法治审核。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为保证重大执法决定法制审核落到实处，局党组明确重大执法决定法制审核主体为局法制机构。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开展工作谋划部署。落实政府法律顾问制度和法制审核规定，聘请青海竞帆律师事务所担任法律顾问，及时提供重大决策咨询和规范性文件论证等方面工作，确保各项决策于法有据、合法合规，为科学决策提供法治支撑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对重大复杂疑难法律事务组织法律顾问协助进行研究，提出意见建议，充分发挥政府法律顾问在法制审核工作中的作用。</w:t>
      </w:r>
    </w:p>
    <w:p w14:paraId="5B16D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（三）加强执法力度，保障耕地安全。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坚决遏制耕地“非农化”，严守耕地保护红线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保障矿产资源可持续发展，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《西宁市湟中区“田长制”工作管理办法》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《湟中区砂石资源监管共同责任机制暂行规定》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压紧压实各乡镇“守土有责”属地化管理和各相关单位监督管理责任，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坚决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以“长牙齿”的耕地保护硬措施，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严守耕地保护红线，202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年以来，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累计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动态巡查240次，发现违法行为发现和立案查处自然资源违法案件35起，其中土地类30起，矿产类4起，规划类1起，根据《土地管理法》《矿产资源法》相关法条及《青海省自然资源行政处罚裁量权基准》。通过多方位、多层面延伸监管触角，确保了苗头性、倾向性土地违法违规行为及时发现、及时制止、及时处理。</w:t>
      </w:r>
    </w:p>
    <w:p w14:paraId="6664F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（四）做好宣传引导，普及法律常识。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按照“知法、懂法、不违法”的宣传教育原则，落实“长牙齿”的耕地保护硬措施，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借助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第34个全国土地日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，湟中区文化广场开展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区三级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6·25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第34个全国土地日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宣传活动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邀请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自然资源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耕地保护成员单位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相关领导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出席活动，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发放电子调查问卷、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文艺汇演、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遥感监测设备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应用展示、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耕地保护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科普宣传和知识问答等多种形式，向广大群众普及了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耕地保护、生态修复、土地征收、空间规划、不动产登记、地质灾害防治等自然资源政策法规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知识，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耕地保护意识和珍惜土地资源观念深入社会，深入千家万户。</w:t>
      </w:r>
    </w:p>
    <w:p w14:paraId="4CBF7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（五）开展案卷自查，查摆存在问题。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  <w:t>按照行政执法工作要求，区司法局、区检察院、市自然资源和规划局对我局行政执法案卷进行评查，通过对部分行政执法案卷的基本要素部分进行检查，在肯定主要成绩的同时，针对案卷中存在的问题提出整改意见，并针对整改意见进行集中学习，进一步增强了工作人员的法治意识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  <w:t>和程序意识。</w:t>
      </w:r>
    </w:p>
    <w:p w14:paraId="305C3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Style w:val="5"/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vertAlign w:val="baseline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（六）主动接受监督，解决群众问题。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为形成群策群力，群众监督、群众执法的良好社会氛围，扎实推进自然资源信访工作，积极运用群众力量，结合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党建引领</w:t>
      </w:r>
      <w:r>
        <w:rPr>
          <w:rFonts w:ascii="Times New Roman" w:hAnsi="Times New Roman" w:eastAsia="仿宋_GB2312" w:cs="Times New Roman"/>
          <w:sz w:val="32"/>
          <w:szCs w:val="32"/>
        </w:rPr>
        <w:t>“有诉必应马上办”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机制创新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今年以来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全局共接待和接收信访案件337起，其中西宁阳光信访信息系统手里11起，西宁12345承办单受理326起，均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已答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复办结，并针对信访线索分类分析。有力促进自然资源管理工作的和谐稳定，及时回应群众关切，形成群众共治的良好社会风气。同时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依托政府政务信息公开平台、局信息公开公示栏，及时公开权责清单、本单位重大决策、重要人事任免、财务预决算等相关信息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年以来信息公开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余条；持续推进“双随机、一公开”监管，202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年以来依法公开行政处罚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条，行政许可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条。</w:t>
      </w:r>
    </w:p>
    <w:p w14:paraId="48212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二、存在的不足和原因</w:t>
      </w:r>
    </w:p>
    <w:p w14:paraId="7D3FA6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尽管我局在法治政府建设工作中取得了一些成效，但与区委区政府的要求还有一定差距，主要表现在：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一是法治建设主体责任落实还有差距。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在对自然资源领域法律法规的学习上，还不够深入。对重大决策合法性要求重视程度还需加强。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二是依法行政水平还需提高。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部分干部职工法律素质参差不齐，对法律法规理解和运用还不够准确，专业性行政执法人员较少；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三是法治宣传效果还不够好。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法治宣传形式单一、做法老套，在资源管护压力越来越大的背景下，不能适应形势的需要。</w:t>
      </w:r>
    </w:p>
    <w:p w14:paraId="413B2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三、第一责任人履职情况</w:t>
      </w:r>
    </w:p>
    <w:p w14:paraId="1585D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依法行政工作过程中，将依法行政摆在全局工作的突出位置，与各项工作做到同部署、同推进、同考核，同时将依法行政工作纳入年度重点工作，认真落实《党政主要负责人履行推进法制建设第一责任人职责规定》，建立法治政府建设工作领导小组，细化依法行政工作任务，明确牵头科室，做到“一把手亲自抓，分管领导对口抓，责任科室具体抓”的工作机制。将全局工作力量攥成“一个拳头”，</w:t>
      </w:r>
      <w:r>
        <w:rPr>
          <w:rFonts w:hint="eastAsia" w:ascii="Times New Roman" w:hAnsi="Times New Roman" w:eastAsia="仿宋_GB2312"/>
          <w:color w:val="auto"/>
          <w:sz w:val="32"/>
          <w:highlight w:val="none"/>
        </w:rPr>
        <w:t>严格执行“三重一大”集体决策等制度规定，</w:t>
      </w:r>
      <w:r>
        <w:rPr>
          <w:rFonts w:hint="eastAsia" w:ascii="Times New Roman" w:hAnsi="Times New Roman" w:eastAsia="仿宋_GB2312"/>
          <w:color w:val="auto"/>
          <w:sz w:val="32"/>
          <w:highlight w:val="none"/>
          <w:lang w:val="en-US" w:eastAsia="zh-CN"/>
        </w:rPr>
        <w:t>不定期召开</w:t>
      </w:r>
      <w:r>
        <w:rPr>
          <w:rFonts w:hint="eastAsia" w:ascii="Times New Roman" w:hAnsi="Times New Roman" w:eastAsia="仿宋_GB2312"/>
          <w:color w:val="auto"/>
          <w:sz w:val="32"/>
          <w:highlight w:val="none"/>
        </w:rPr>
        <w:t>党组会</w:t>
      </w:r>
      <w:r>
        <w:rPr>
          <w:rFonts w:hint="eastAsia" w:ascii="Times New Roman" w:hAnsi="Times New Roman" w:eastAsia="仿宋_GB2312"/>
          <w:color w:val="auto"/>
          <w:sz w:val="32"/>
          <w:highlight w:val="none"/>
          <w:lang w:val="en-US" w:eastAsia="zh-CN"/>
        </w:rPr>
        <w:t>、局务会，做到有研究、有部署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B234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四、下一年度推进法治政府建设的主要安排</w:t>
      </w:r>
    </w:p>
    <w:p w14:paraId="01FDB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一是持续抓好领导干部学法用法。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严格执行局党组学习制度和领导干部学法制度，带头学法时间不少于40学时，不断提高领导干部依法治国、执政为民的观念，提高依法决策、依法办事和依法行政的能力。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二是持续强化法治思维。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树立重视法治素养和法治能力的用人导向，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组织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法律法规及各项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业务培训，让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干部职工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不断学习专业知识，夯实依法行政的基础，提升工作能力，提高工作效率，更好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地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为群众服务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三是健全矛盾化解机制。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加强涉企和群众法律法规宣传力度、矛盾纠纷化解力度，及时把矛盾纠纷化解在基层，减少行政上诉案件发生，降低行政败诉率。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完成行政执法队伍改革。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根据行政执法服务改革要求，按照区委区政府统一安排，撤销西宁市湟中区国土资源执法大队，待省司法厅出台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《执法权责清单》后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将自然资源、林业草原行政执法职责划入派驻区的生态环境综合行政执法大队，进一步提高辖区自然资源等生态环境违法行为发现率、查处率，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提高执法威慑力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RhM2UzNjU2NzA1ZWQ1MmZmODFhN2YzMTI2YWMifQ=="/>
  </w:docVars>
  <w:rsids>
    <w:rsidRoot w:val="58F961A4"/>
    <w:rsid w:val="0A8B21B3"/>
    <w:rsid w:val="184C246A"/>
    <w:rsid w:val="1F147877"/>
    <w:rsid w:val="214F045D"/>
    <w:rsid w:val="216352F5"/>
    <w:rsid w:val="2A4966DB"/>
    <w:rsid w:val="31BE2013"/>
    <w:rsid w:val="45C641DB"/>
    <w:rsid w:val="4A2C25D7"/>
    <w:rsid w:val="54AB6B25"/>
    <w:rsid w:val="58F961A4"/>
    <w:rsid w:val="6421269A"/>
    <w:rsid w:val="675155BE"/>
    <w:rsid w:val="79C57B86"/>
    <w:rsid w:val="7D39320E"/>
    <w:rsid w:val="7DCB394B"/>
    <w:rsid w:val="7F3F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2400</Words>
  <Characters>2451</Characters>
  <Lines>0</Lines>
  <Paragraphs>0</Paragraphs>
  <TotalTime>15</TotalTime>
  <ScaleCrop>false</ScaleCrop>
  <LinksUpToDate>false</LinksUpToDate>
  <CharactersWithSpaces>2451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2023-03-16T07:30:00Z</dcterms:created>
  <dc:creator>百川</dc:creator>
  <cp:lastModifiedBy>心安</cp:lastModifiedBy>
  <cp:lastPrinted>2024-11-22T01:30:00Z</cp:lastPrinted>
  <dcterms:modified xsi:type="dcterms:W3CDTF">2026-03-31T01:01:09Z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7258A20770BB4BCB88A5C40D79C7F06A_13</vt:lpwstr>
  </property>
  <property fmtid="{D5CDD505-2E9C-101B-9397-08002B2CF9AE}" pid="4" name="KSOTemplateDocerSaveRecord">
    <vt:lpwstr>eyJoZGlkIjoiNTk1ZmVkMTdkZGI2OWQ1MmFkZDY3ZDE5OTQxZmMxODYiLCJ1c2VySWQiOiI3NzI1MjYxNTUifQ==</vt:lpwstr>
  </property>
</Properties>
</file>