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7D97">
      <w:pPr>
        <w:keepNext w:val="0"/>
        <w:keepLines w:val="0"/>
        <w:pageBreakBefore w:val="0"/>
        <w:kinsoku/>
        <w:wordWrap/>
        <w:overflowPunct/>
        <w:topLinePunct w:val="0"/>
        <w:autoSpaceDE/>
        <w:autoSpaceDN/>
        <w:bidi w:val="0"/>
        <w:adjustRightInd/>
        <w:snapToGrid/>
        <w:spacing w:line="550" w:lineRule="exact"/>
        <w:ind w:left="0" w:leftChars="0"/>
        <w:jc w:val="both"/>
        <w:textAlignment w:val="auto"/>
        <w:rPr>
          <w:rFonts w:hint="default" w:ascii="Times New Roman" w:hAnsi="Times New Roman" w:eastAsia="方正小标宋简体" w:cs="Times New Roman"/>
          <w:sz w:val="44"/>
          <w:szCs w:val="44"/>
        </w:rPr>
      </w:pPr>
    </w:p>
    <w:p w14:paraId="19910F36">
      <w:pPr>
        <w:keepNext w:val="0"/>
        <w:keepLines w:val="0"/>
        <w:pageBreakBefore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eastAsia="方正小标宋简体" w:cs="Times New Roman"/>
          <w:b w:val="0"/>
          <w:bCs w:val="0"/>
          <w:sz w:val="44"/>
          <w:szCs w:val="44"/>
          <w:lang w:eastAsia="zh-CN"/>
        </w:rPr>
        <w:t>西宁市湟中区</w:t>
      </w:r>
      <w:r>
        <w:rPr>
          <w:rFonts w:hint="default" w:ascii="Times New Roman" w:hAnsi="Times New Roman" w:eastAsia="方正小标宋简体" w:cs="Times New Roman"/>
          <w:b w:val="0"/>
          <w:bCs w:val="0"/>
          <w:sz w:val="44"/>
          <w:szCs w:val="44"/>
          <w:lang w:eastAsia="zh-CN"/>
        </w:rPr>
        <w:t>土门关乡</w:t>
      </w:r>
      <w:r>
        <w:rPr>
          <w:rFonts w:hint="eastAsia" w:ascii="Times New Roman" w:hAnsi="Times New Roman" w:eastAsia="方正小标宋简体" w:cs="Times New Roman"/>
          <w:b w:val="0"/>
          <w:bCs w:val="0"/>
          <w:sz w:val="44"/>
          <w:szCs w:val="44"/>
          <w:lang w:val="en-US" w:eastAsia="zh-CN"/>
        </w:rPr>
        <w:t>人民政府</w:t>
      </w:r>
    </w:p>
    <w:p w14:paraId="7374805C">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default" w:ascii="Times New Roman" w:hAnsi="Times New Roman" w:eastAsia="方正小标宋简体" w:cs="Times New Roman"/>
          <w:b/>
          <w:bCs/>
          <w:sz w:val="44"/>
          <w:szCs w:val="44"/>
          <w:lang w:val="en-US" w:eastAsia="zh-CN"/>
        </w:rPr>
        <w:t>2025</w:t>
      </w:r>
      <w:r>
        <w:rPr>
          <w:rFonts w:hint="eastAsia" w:ascii="方正小标宋简体" w:hAnsi="方正小标宋简体" w:eastAsia="方正小标宋简体" w:cs="方正小标宋简体"/>
          <w:sz w:val="44"/>
          <w:szCs w:val="44"/>
          <w:lang w:val="en-US" w:eastAsia="zh-CN"/>
        </w:rPr>
        <w:t>年法治政府建设情况的报告</w:t>
      </w:r>
    </w:p>
    <w:p w14:paraId="09E9BB31">
      <w:pPr>
        <w:keepNext w:val="0"/>
        <w:keepLines w:val="0"/>
        <w:pageBreakBefore w:val="0"/>
        <w:kinsoku/>
        <w:wordWrap/>
        <w:overflowPunct/>
        <w:topLinePunct w:val="0"/>
        <w:autoSpaceDE/>
        <w:autoSpaceDN/>
        <w:bidi w:val="0"/>
        <w:adjustRightInd/>
        <w:snapToGrid/>
        <w:spacing w:line="55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721903E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rPr>
          <w:rStyle w:val="7"/>
          <w:rFonts w:hint="eastAsia" w:ascii="Times New Roman" w:hAnsi="Times New Roman" w:eastAsia="黑体" w:cs="黑体"/>
          <w:b w:val="0"/>
          <w:bCs/>
          <w:spacing w:val="0"/>
          <w:sz w:val="32"/>
          <w:szCs w:val="32"/>
          <w:lang w:val="en-US" w:eastAsia="zh-CN"/>
        </w:rPr>
      </w:pPr>
      <w:r>
        <w:rPr>
          <w:rFonts w:hint="eastAsia" w:ascii="Times New Roman" w:hAnsi="Times New Roman" w:eastAsia="黑体" w:cs="黑体"/>
          <w:b w:val="0"/>
          <w:bCs/>
          <w:spacing w:val="0"/>
          <w:kern w:val="0"/>
          <w:sz w:val="32"/>
          <w:szCs w:val="32"/>
          <w:lang w:val="en-US" w:eastAsia="zh-CN" w:bidi="ar"/>
        </w:rPr>
        <w:t>一、</w:t>
      </w:r>
      <w:r>
        <w:rPr>
          <w:rStyle w:val="7"/>
          <w:rFonts w:hint="eastAsia" w:ascii="Times New Roman" w:hAnsi="Times New Roman" w:eastAsia="黑体" w:cs="黑体"/>
          <w:b w:val="0"/>
          <w:bCs/>
          <w:spacing w:val="0"/>
          <w:sz w:val="32"/>
          <w:szCs w:val="32"/>
          <w:lang w:val="en-US" w:eastAsia="zh-CN"/>
        </w:rPr>
        <w:t>上一年度推进法治政府建设的主要举措和成效</w:t>
      </w:r>
    </w:p>
    <w:p w14:paraId="7ED2C48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在区委、区政府的正确领导下，土门关乡以习近平新时代中国特色社会主义思想为指导，深入贯彻落实习近平法治思想，全面学习贯彻党的二十大及二十届三中、四中全会精神，依法全面履行政府职能，扎实推进法治政府建设各项重点工作。现将我乡2025年度法治政府建设工作主要情况报告如下。</w:t>
      </w:r>
    </w:p>
    <w:p w14:paraId="0752315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rPr>
      </w:pPr>
      <w:r>
        <w:rPr>
          <w:rStyle w:val="7"/>
          <w:rFonts w:hint="eastAsia" w:ascii="Times New Roman" w:hAnsi="Times New Roman" w:eastAsia="楷体_GB2312" w:cs="楷体_GB2312"/>
          <w:spacing w:val="0"/>
          <w:sz w:val="32"/>
          <w:szCs w:val="32"/>
        </w:rPr>
        <w:t>（一）加强组织领导，扛牢政治责任。</w:t>
      </w:r>
      <w:r>
        <w:rPr>
          <w:rFonts w:hint="eastAsia" w:ascii="Times New Roman" w:hAnsi="Times New Roman" w:eastAsia="仿宋_GB2312" w:cs="仿宋_GB2312"/>
          <w:spacing w:val="0"/>
          <w:sz w:val="32"/>
          <w:szCs w:val="32"/>
        </w:rPr>
        <w:t>为进一步强化法治政府建设的组织保障，土门关乡将法治政府建设纳入全乡工作全局重点部署，及时调整依法治乡工作领导小组，由乡党政主要负责人担任组长、分管领导任副组长，</w:t>
      </w:r>
      <w:r>
        <w:rPr>
          <w:rFonts w:hint="eastAsia" w:ascii="Times New Roman" w:hAnsi="Times New Roman" w:eastAsia="仿宋_GB2312" w:cs="仿宋_GB2312"/>
          <w:spacing w:val="0"/>
          <w:sz w:val="32"/>
          <w:szCs w:val="32"/>
          <w:lang w:eastAsia="zh-CN"/>
        </w:rPr>
        <w:t>科室主任为成员，</w:t>
      </w:r>
      <w:r>
        <w:rPr>
          <w:rFonts w:hint="eastAsia" w:ascii="Times New Roman" w:hAnsi="Times New Roman" w:eastAsia="仿宋_GB2312" w:cs="仿宋_GB2312"/>
          <w:spacing w:val="0"/>
          <w:sz w:val="32"/>
          <w:szCs w:val="32"/>
        </w:rPr>
        <w:t>配齐配强工作力量，明确职责分工、压实工作责任，统筹推进依法治乡各项工作。乡党政主要负责人严格履行推进法治政府建设第一责任人职责，定期听取工作汇报，全年召开4次党委会专题研究解决法治政府建设中的难点堵点问题，认真落实责任制，全面推动我乡法治政府建设各项工作落地见效。</w:t>
      </w:r>
    </w:p>
    <w:p w14:paraId="5E8418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3" w:firstLineChars="200"/>
        <w:jc w:val="both"/>
        <w:textAlignment w:val="auto"/>
        <w:rPr>
          <w:rFonts w:hint="eastAsia" w:ascii="Times New Roman" w:hAnsi="Times New Roman" w:eastAsia="仿宋_GB2312" w:cs="仿宋_GB2312"/>
          <w:spacing w:val="0"/>
          <w:sz w:val="32"/>
          <w:szCs w:val="32"/>
        </w:rPr>
      </w:pPr>
      <w:r>
        <w:rPr>
          <w:rStyle w:val="7"/>
          <w:rFonts w:hint="eastAsia" w:ascii="Times New Roman" w:hAnsi="Times New Roman" w:eastAsia="楷体_GB2312" w:cs="楷体_GB2312"/>
          <w:spacing w:val="0"/>
          <w:sz w:val="32"/>
          <w:szCs w:val="32"/>
        </w:rPr>
        <w:t>（二）加强理论学习，夯实法治基础。</w:t>
      </w:r>
      <w:r>
        <w:rPr>
          <w:rFonts w:hint="eastAsia" w:ascii="Times New Roman" w:hAnsi="Times New Roman" w:eastAsia="仿宋_GB2312" w:cs="仿宋_GB2312"/>
          <w:spacing w:val="0"/>
          <w:sz w:val="32"/>
          <w:szCs w:val="32"/>
        </w:rPr>
        <w:t>始终坚持把学习贯彻习近平法治思想作为首要政治任务，深刻领悟党的领导是推进全面依法治国的根本保证、是中国特色社会主义法治之魂，以“关键少数”领学、全员覆盖深学、干群联动普学的三级学习体系，推动法治精神在乡域落地生根。</w:t>
      </w:r>
      <w:r>
        <w:rPr>
          <w:rFonts w:hint="eastAsia" w:ascii="Times New Roman" w:hAnsi="Times New Roman" w:eastAsia="仿宋_GB2312" w:cs="仿宋_GB2312"/>
          <w:b/>
          <w:bCs/>
          <w:spacing w:val="0"/>
          <w:sz w:val="32"/>
          <w:szCs w:val="32"/>
        </w:rPr>
        <w:t>一是</w:t>
      </w:r>
      <w:r>
        <w:rPr>
          <w:rFonts w:hint="eastAsia" w:ascii="Times New Roman" w:hAnsi="Times New Roman" w:eastAsia="仿宋_GB2312" w:cs="仿宋_GB2312"/>
          <w:spacing w:val="0"/>
          <w:sz w:val="32"/>
          <w:szCs w:val="32"/>
        </w:rPr>
        <w:t>领导干部带头学，筑牢“关键少数”法治根基。将法治学习纳入党委会固定议题和党委中心组理论学习核心内容，专题组织学习习近平法治思想及与乡村治理密切相关的法律法规制度，建立领导干部应知应会法律法规清单，严格落实常态化学法机制，2025年每季度开展1次党委会专题学法，全年累计4次，推动领导干部带头尊法学法守法用法，以法治思维引领决策部署。</w:t>
      </w:r>
      <w:r>
        <w:rPr>
          <w:rFonts w:hint="eastAsia" w:ascii="Times New Roman" w:hAnsi="Times New Roman" w:eastAsia="仿宋_GB2312" w:cs="仿宋_GB2312"/>
          <w:b/>
          <w:bCs/>
          <w:spacing w:val="0"/>
          <w:sz w:val="32"/>
          <w:szCs w:val="32"/>
        </w:rPr>
        <w:t>二是</w:t>
      </w:r>
      <w:r>
        <w:rPr>
          <w:rFonts w:hint="eastAsia" w:ascii="Times New Roman" w:hAnsi="Times New Roman" w:eastAsia="仿宋_GB2312" w:cs="仿宋_GB2312"/>
          <w:spacing w:val="0"/>
          <w:sz w:val="32"/>
          <w:szCs w:val="32"/>
        </w:rPr>
        <w:t>全体干部深入学，提升依法履职能力素养。构建“线上+线下”立体化学习矩阵，线上依托“青海普法”公众号、今日头条《法治宣传教育法》全民普法公益大讲堂等平台，推送针对性学习内容；线下利用干部早会、专题培训等契机，常态化组织集中学习《宪法》《民法典》《行政处罚法》《村民委员会组织法》《乡村振兴促进法》等核心法律法规15余次。同时，严格组织年度法治理论知识考试，覆盖干部职工10名，学习完成率与考试合格率均达100%，有效提升了全体干部运用法治方式解决问题、推动工作的能力。</w:t>
      </w:r>
      <w:r>
        <w:rPr>
          <w:rFonts w:hint="eastAsia" w:ascii="Times New Roman" w:hAnsi="Times New Roman" w:eastAsia="仿宋_GB2312" w:cs="仿宋_GB2312"/>
          <w:b/>
          <w:bCs/>
          <w:spacing w:val="0"/>
          <w:sz w:val="32"/>
          <w:szCs w:val="32"/>
        </w:rPr>
        <w:t>三是</w:t>
      </w:r>
      <w:r>
        <w:rPr>
          <w:rFonts w:hint="eastAsia" w:ascii="Times New Roman" w:hAnsi="Times New Roman" w:eastAsia="仿宋_GB2312" w:cs="仿宋_GB2312"/>
          <w:spacing w:val="0"/>
          <w:sz w:val="32"/>
          <w:szCs w:val="32"/>
        </w:rPr>
        <w:t>干群联动全民学，营造崇法向善浓厚氛围。聚焦“八五”普法收官要求，变“大水漫灌”为“精准滴灌”，结合“4·15”全民国家安全教育日、“6·26”国际禁毒日、反邪教宣传月、平安建设宣传月、“12·4”国家宪法日等重要节点，在乡主要路段、集市广场设置宣传点位，通过发放宣传手册、现场答疑、案例解读等形式，向群众普及与生产生活密切相关的法律知识。创新推出“板凳课堂”“田间普法”等接地气的宣传形式，组织乡分管领导、司法所工作人员、“法律明白人”深入村组，用通俗语言讲解邻里纠纷、土地流转、权益保障等热点问题，全年开展集中宣传活动8场，覆盖群众500余人次，让法律走进田间地头、融入日常生活，切实增强了群众的法治意识和维权能力，赢得广泛好评。</w:t>
      </w:r>
    </w:p>
    <w:p w14:paraId="425C544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3" w:firstLineChars="200"/>
        <w:jc w:val="both"/>
        <w:textAlignment w:val="auto"/>
        <w:rPr>
          <w:rFonts w:hint="eastAsia" w:ascii="Times New Roman" w:hAnsi="Times New Roman" w:eastAsia="仿宋_GB2312" w:cs="仿宋_GB2312"/>
          <w:spacing w:val="0"/>
          <w:sz w:val="32"/>
          <w:szCs w:val="32"/>
          <w:shd w:val="clear" w:fill="FFFFFF"/>
          <w:lang w:eastAsia="zh-CN"/>
        </w:rPr>
      </w:pPr>
      <w:r>
        <w:rPr>
          <w:rStyle w:val="7"/>
          <w:rFonts w:hint="eastAsia" w:ascii="Times New Roman" w:hAnsi="Times New Roman" w:eastAsia="楷体_GB2312" w:cs="楷体_GB2312"/>
          <w:spacing w:val="0"/>
          <w:sz w:val="32"/>
          <w:szCs w:val="32"/>
        </w:rPr>
        <w:t>（三）强化制度建设，全面推进依法行政。</w:t>
      </w:r>
      <w:r>
        <w:rPr>
          <w:rFonts w:hint="eastAsia" w:ascii="Times New Roman" w:hAnsi="Times New Roman" w:eastAsia="仿宋_GB2312" w:cs="仿宋_GB2312"/>
          <w:b/>
          <w:bCs/>
          <w:spacing w:val="0"/>
          <w:sz w:val="32"/>
          <w:szCs w:val="32"/>
        </w:rPr>
        <w:t>一是</w:t>
      </w:r>
      <w:r>
        <w:rPr>
          <w:rFonts w:hint="eastAsia" w:ascii="Times New Roman" w:hAnsi="Times New Roman" w:eastAsia="仿宋_GB2312" w:cs="仿宋_GB2312"/>
          <w:spacing w:val="0"/>
          <w:sz w:val="32"/>
          <w:szCs w:val="32"/>
        </w:rPr>
        <w:t>重大行政决策科学民主。严格落实重大行政决策集体讨论法定程序，对本</w:t>
      </w:r>
      <w:r>
        <w:rPr>
          <w:rFonts w:hint="eastAsia" w:ascii="Times New Roman" w:hAnsi="Times New Roman" w:eastAsia="仿宋_GB2312" w:cs="仿宋_GB2312"/>
          <w:spacing w:val="0"/>
          <w:sz w:val="32"/>
          <w:szCs w:val="32"/>
          <w:lang w:eastAsia="zh-CN"/>
        </w:rPr>
        <w:t>乡</w:t>
      </w:r>
      <w:r>
        <w:rPr>
          <w:rFonts w:hint="eastAsia" w:ascii="Times New Roman" w:hAnsi="Times New Roman" w:eastAsia="仿宋_GB2312" w:cs="仿宋_GB2312"/>
          <w:spacing w:val="0"/>
          <w:sz w:val="32"/>
          <w:szCs w:val="32"/>
        </w:rPr>
        <w:t>的重点问题、难点问题、群众关心的热点问题等重大事项，始终坚持民主集中制，</w:t>
      </w:r>
      <w:r>
        <w:rPr>
          <w:rFonts w:hint="eastAsia" w:ascii="Times New Roman" w:hAnsi="Times New Roman" w:eastAsia="仿宋_GB2312" w:cs="仿宋_GB2312"/>
          <w:spacing w:val="0"/>
          <w:sz w:val="32"/>
          <w:szCs w:val="32"/>
          <w:lang w:eastAsia="zh-CN"/>
        </w:rPr>
        <w:t>在党委会上专题研究讨论后</w:t>
      </w:r>
      <w:r>
        <w:rPr>
          <w:rFonts w:hint="eastAsia" w:ascii="Times New Roman" w:hAnsi="Times New Roman" w:eastAsia="仿宋_GB2312" w:cs="仿宋_GB2312"/>
          <w:spacing w:val="0"/>
          <w:sz w:val="32"/>
          <w:szCs w:val="32"/>
        </w:rPr>
        <w:t>集体决定，杜绝个人意志专武独断。</w:t>
      </w:r>
      <w:r>
        <w:rPr>
          <w:rFonts w:hint="eastAsia" w:ascii="Times New Roman" w:hAnsi="Times New Roman" w:eastAsia="仿宋_GB2312" w:cs="仿宋_GB2312"/>
          <w:b/>
          <w:bCs/>
          <w:spacing w:val="0"/>
          <w:sz w:val="32"/>
          <w:szCs w:val="32"/>
          <w:lang w:val="en-US" w:eastAsia="zh-CN"/>
        </w:rPr>
        <w:t>二是</w:t>
      </w:r>
      <w:r>
        <w:rPr>
          <w:rFonts w:hint="eastAsia" w:ascii="Times New Roman" w:hAnsi="Times New Roman" w:eastAsia="仿宋_GB2312" w:cs="仿宋_GB2312"/>
          <w:spacing w:val="0"/>
          <w:sz w:val="32"/>
          <w:szCs w:val="32"/>
        </w:rPr>
        <w:t>聘请</w:t>
      </w:r>
      <w:r>
        <w:rPr>
          <w:rFonts w:hint="eastAsia" w:ascii="Times New Roman" w:hAnsi="Times New Roman" w:eastAsia="仿宋_GB2312" w:cs="仿宋_GB2312"/>
          <w:color w:val="auto"/>
          <w:spacing w:val="0"/>
          <w:sz w:val="32"/>
          <w:szCs w:val="32"/>
          <w:lang w:eastAsia="zh-CN"/>
        </w:rPr>
        <w:t>一名</w:t>
      </w:r>
      <w:r>
        <w:rPr>
          <w:rFonts w:hint="eastAsia" w:ascii="Times New Roman" w:hAnsi="Times New Roman" w:eastAsia="仿宋_GB2312" w:cs="仿宋_GB2312"/>
          <w:color w:val="auto"/>
          <w:spacing w:val="0"/>
          <w:sz w:val="32"/>
          <w:szCs w:val="32"/>
        </w:rPr>
        <w:t>北京中伦律师事务所律师</w:t>
      </w:r>
      <w:r>
        <w:rPr>
          <w:rFonts w:hint="eastAsia" w:ascii="Times New Roman" w:hAnsi="Times New Roman" w:eastAsia="仿宋_GB2312" w:cs="仿宋_GB2312"/>
          <w:spacing w:val="0"/>
          <w:sz w:val="32"/>
          <w:szCs w:val="32"/>
        </w:rPr>
        <w:t>担任我</w:t>
      </w:r>
      <w:r>
        <w:rPr>
          <w:rFonts w:hint="eastAsia" w:ascii="Times New Roman" w:hAnsi="Times New Roman" w:eastAsia="仿宋_GB2312" w:cs="仿宋_GB2312"/>
          <w:spacing w:val="0"/>
          <w:sz w:val="32"/>
          <w:szCs w:val="32"/>
          <w:lang w:eastAsia="zh-CN"/>
        </w:rPr>
        <w:t>乡</w:t>
      </w:r>
      <w:r>
        <w:rPr>
          <w:rFonts w:hint="eastAsia" w:ascii="Times New Roman" w:hAnsi="Times New Roman" w:eastAsia="仿宋_GB2312" w:cs="仿宋_GB2312"/>
          <w:spacing w:val="0"/>
          <w:sz w:val="32"/>
          <w:szCs w:val="32"/>
        </w:rPr>
        <w:t>政府法律顾问，负责事前重大合同的草拟、修改等方面工作，从程序上防范由于不规范带来的风险和损失，促进了政府决策科学化、民主化、</w:t>
      </w:r>
      <w:r>
        <w:rPr>
          <w:rFonts w:hint="eastAsia" w:ascii="Times New Roman" w:hAnsi="Times New Roman" w:eastAsia="仿宋_GB2312" w:cs="仿宋_GB2312"/>
          <w:spacing w:val="0"/>
          <w:sz w:val="32"/>
          <w:szCs w:val="32"/>
          <w:lang w:eastAsia="zh-CN"/>
        </w:rPr>
        <w:t>法治化</w:t>
      </w:r>
      <w:r>
        <w:rPr>
          <w:rFonts w:hint="eastAsia" w:ascii="Times New Roman" w:hAnsi="Times New Roman" w:eastAsia="仿宋_GB2312" w:cs="仿宋_GB2312"/>
          <w:spacing w:val="0"/>
          <w:sz w:val="32"/>
          <w:szCs w:val="32"/>
        </w:rPr>
        <w:t>，切实提高决策整体水平。</w:t>
      </w:r>
    </w:p>
    <w:p w14:paraId="3B165B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3" w:firstLineChars="200"/>
        <w:jc w:val="both"/>
        <w:textAlignment w:val="auto"/>
        <w:rPr>
          <w:rFonts w:hint="eastAsia" w:ascii="Times New Roman" w:hAnsi="Times New Roman" w:eastAsia="仿宋_GB2312" w:cs="仿宋_GB2312"/>
          <w:spacing w:val="0"/>
          <w:sz w:val="32"/>
          <w:szCs w:val="32"/>
        </w:rPr>
      </w:pPr>
      <w:r>
        <w:rPr>
          <w:rStyle w:val="7"/>
          <w:rFonts w:hint="eastAsia" w:ascii="Times New Roman" w:hAnsi="Times New Roman" w:eastAsia="楷体_GB2312" w:cs="楷体_GB2312"/>
          <w:spacing w:val="0"/>
          <w:sz w:val="32"/>
          <w:szCs w:val="32"/>
        </w:rPr>
        <w:t>（四）依法处理纠纷，有效化解矛盾。</w:t>
      </w:r>
      <w:r>
        <w:rPr>
          <w:rFonts w:hint="eastAsia" w:ascii="Times New Roman" w:hAnsi="Times New Roman" w:eastAsia="仿宋_GB2312" w:cs="仿宋_GB2312"/>
          <w:b/>
          <w:bCs/>
          <w:spacing w:val="0"/>
          <w:sz w:val="32"/>
          <w:szCs w:val="32"/>
        </w:rPr>
        <w:t>一是</w:t>
      </w:r>
      <w:r>
        <w:rPr>
          <w:rFonts w:hint="eastAsia" w:ascii="Times New Roman" w:hAnsi="Times New Roman" w:eastAsia="仿宋_GB2312" w:cs="仿宋_GB2312"/>
          <w:spacing w:val="0"/>
          <w:sz w:val="32"/>
          <w:szCs w:val="32"/>
        </w:rPr>
        <w:t>建立矛盾纠纷排查调处机制。</w:t>
      </w:r>
      <w:r>
        <w:rPr>
          <w:rFonts w:hint="eastAsia" w:ascii="Times New Roman" w:hAnsi="Times New Roman" w:eastAsia="仿宋_GB2312" w:cs="仿宋_GB2312"/>
          <w:spacing w:val="0"/>
          <w:sz w:val="32"/>
          <w:szCs w:val="32"/>
          <w:lang w:eastAsia="zh-CN"/>
        </w:rPr>
        <w:t>重点</w:t>
      </w:r>
      <w:r>
        <w:rPr>
          <w:rFonts w:hint="eastAsia" w:ascii="Times New Roman" w:hAnsi="Times New Roman" w:eastAsia="仿宋_GB2312" w:cs="仿宋_GB2312"/>
          <w:spacing w:val="0"/>
          <w:sz w:val="32"/>
          <w:szCs w:val="32"/>
        </w:rPr>
        <w:t>在</w:t>
      </w:r>
      <w:r>
        <w:rPr>
          <w:rFonts w:hint="eastAsia" w:ascii="Times New Roman" w:hAnsi="Times New Roman" w:eastAsia="仿宋_GB2312" w:cs="仿宋_GB2312"/>
          <w:spacing w:val="0"/>
          <w:sz w:val="32"/>
          <w:szCs w:val="32"/>
          <w:lang w:eastAsia="zh-CN"/>
        </w:rPr>
        <w:t>邻里土地、</w:t>
      </w:r>
      <w:r>
        <w:rPr>
          <w:rFonts w:hint="eastAsia" w:ascii="Times New Roman" w:hAnsi="Times New Roman" w:eastAsia="仿宋_GB2312" w:cs="仿宋_GB2312"/>
          <w:spacing w:val="0"/>
          <w:sz w:val="32"/>
          <w:szCs w:val="32"/>
        </w:rPr>
        <w:t>社会保障、环境保护、公共安全等矛盾纠纷相对高发领域，建立矛盾纠纷排查调处机制，</w:t>
      </w:r>
      <w:r>
        <w:rPr>
          <w:rFonts w:hint="eastAsia" w:ascii="Times New Roman" w:hAnsi="Times New Roman" w:eastAsia="仿宋_GB2312" w:cs="仿宋_GB2312"/>
          <w:spacing w:val="0"/>
          <w:sz w:val="32"/>
          <w:szCs w:val="32"/>
          <w:lang w:eastAsia="zh-CN"/>
        </w:rPr>
        <w:t>常态化开展矛盾纠纷排查化解，并建立台账。联合</w:t>
      </w:r>
      <w:r>
        <w:rPr>
          <w:rFonts w:hint="eastAsia" w:ascii="Times New Roman" w:hAnsi="Times New Roman" w:eastAsia="仿宋_GB2312" w:cs="仿宋_GB2312"/>
          <w:spacing w:val="0"/>
          <w:sz w:val="32"/>
          <w:szCs w:val="32"/>
          <w:lang w:val="en-US" w:eastAsia="zh-CN"/>
        </w:rPr>
        <w:t>乡司法所，在</w:t>
      </w:r>
      <w:r>
        <w:rPr>
          <w:rFonts w:hint="eastAsia" w:ascii="Times New Roman" w:hAnsi="Times New Roman" w:eastAsia="仿宋_GB2312" w:cs="仿宋_GB2312"/>
          <w:spacing w:val="0"/>
          <w:sz w:val="32"/>
          <w:szCs w:val="32"/>
        </w:rPr>
        <w:t>全</w:t>
      </w:r>
      <w:r>
        <w:rPr>
          <w:rFonts w:hint="eastAsia" w:ascii="Times New Roman" w:hAnsi="Times New Roman" w:eastAsia="仿宋_GB2312" w:cs="仿宋_GB2312"/>
          <w:spacing w:val="0"/>
          <w:sz w:val="32"/>
          <w:szCs w:val="32"/>
          <w:lang w:eastAsia="zh-CN"/>
        </w:rPr>
        <w:t>乡</w:t>
      </w:r>
      <w:r>
        <w:rPr>
          <w:rFonts w:hint="eastAsia" w:ascii="Times New Roman" w:hAnsi="Times New Roman" w:eastAsia="仿宋_GB2312" w:cs="仿宋_GB2312"/>
          <w:spacing w:val="0"/>
          <w:sz w:val="32"/>
          <w:szCs w:val="32"/>
          <w:lang w:val="en-US" w:eastAsia="zh-CN"/>
        </w:rPr>
        <w:t>19</w:t>
      </w:r>
      <w:r>
        <w:rPr>
          <w:rFonts w:hint="eastAsia" w:ascii="Times New Roman" w:hAnsi="Times New Roman" w:eastAsia="仿宋_GB2312" w:cs="仿宋_GB2312"/>
          <w:spacing w:val="0"/>
          <w:sz w:val="32"/>
          <w:szCs w:val="32"/>
        </w:rPr>
        <w:t>个行政村</w:t>
      </w:r>
      <w:r>
        <w:rPr>
          <w:rFonts w:hint="eastAsia" w:ascii="Times New Roman" w:hAnsi="Times New Roman" w:eastAsia="仿宋_GB2312" w:cs="仿宋_GB2312"/>
          <w:spacing w:val="0"/>
          <w:sz w:val="32"/>
          <w:szCs w:val="32"/>
          <w:lang w:val="en-US" w:eastAsia="zh-CN"/>
        </w:rPr>
        <w:t>培养“法律明白人”57名</w:t>
      </w:r>
      <w:r>
        <w:rPr>
          <w:rFonts w:hint="eastAsia" w:ascii="Times New Roman" w:hAnsi="Times New Roman" w:eastAsia="仿宋_GB2312" w:cs="仿宋_GB2312"/>
          <w:spacing w:val="0"/>
          <w:sz w:val="32"/>
          <w:szCs w:val="32"/>
        </w:rPr>
        <w:t>，为村民提供法律咨询、法治宣传教育，帮助修订完善村规民约、合同、协议等，同时加强司法援助工作，保障困难群众的合法权益。</w:t>
      </w:r>
      <w:r>
        <w:rPr>
          <w:rFonts w:hint="eastAsia" w:ascii="Times New Roman" w:hAnsi="Times New Roman" w:eastAsia="仿宋_GB2312" w:cs="仿宋_GB2312"/>
          <w:b/>
          <w:bCs/>
          <w:spacing w:val="0"/>
          <w:sz w:val="32"/>
          <w:szCs w:val="32"/>
        </w:rPr>
        <w:t>二是</w:t>
      </w:r>
      <w:r>
        <w:rPr>
          <w:rFonts w:hint="eastAsia" w:ascii="Times New Roman" w:hAnsi="Times New Roman" w:eastAsia="仿宋_GB2312" w:cs="仿宋_GB2312"/>
          <w:spacing w:val="0"/>
          <w:sz w:val="32"/>
          <w:szCs w:val="32"/>
        </w:rPr>
        <w:t>依法规范信访行为。将信访</w:t>
      </w:r>
      <w:r>
        <w:rPr>
          <w:rFonts w:hint="eastAsia" w:ascii="Times New Roman" w:hAnsi="Times New Roman" w:eastAsia="仿宋_GB2312" w:cs="仿宋_GB2312"/>
          <w:spacing w:val="0"/>
          <w:sz w:val="32"/>
          <w:szCs w:val="32"/>
          <w:lang w:eastAsia="zh-CN"/>
        </w:rPr>
        <w:t>工作</w:t>
      </w:r>
      <w:r>
        <w:rPr>
          <w:rFonts w:hint="eastAsia" w:ascii="Times New Roman" w:hAnsi="Times New Roman" w:eastAsia="仿宋_GB2312" w:cs="仿宋_GB2312"/>
          <w:spacing w:val="0"/>
          <w:sz w:val="32"/>
          <w:szCs w:val="32"/>
        </w:rPr>
        <w:t>纳入</w:t>
      </w:r>
      <w:r>
        <w:rPr>
          <w:rFonts w:hint="eastAsia" w:ascii="Times New Roman" w:hAnsi="Times New Roman" w:eastAsia="仿宋_GB2312" w:cs="仿宋_GB2312"/>
          <w:spacing w:val="0"/>
          <w:sz w:val="32"/>
          <w:szCs w:val="32"/>
          <w:lang w:val="en-US" w:eastAsia="zh-CN"/>
        </w:rPr>
        <w:t>全乡</w:t>
      </w:r>
      <w:r>
        <w:rPr>
          <w:rFonts w:hint="eastAsia" w:ascii="Times New Roman" w:hAnsi="Times New Roman" w:eastAsia="仿宋_GB2312" w:cs="仿宋_GB2312"/>
          <w:spacing w:val="0"/>
          <w:sz w:val="32"/>
          <w:szCs w:val="32"/>
        </w:rPr>
        <w:t>法治化</w:t>
      </w:r>
      <w:r>
        <w:rPr>
          <w:rFonts w:hint="eastAsia" w:ascii="Times New Roman" w:hAnsi="Times New Roman" w:eastAsia="仿宋_GB2312" w:cs="仿宋_GB2312"/>
          <w:spacing w:val="0"/>
          <w:sz w:val="32"/>
          <w:szCs w:val="32"/>
          <w:lang w:val="en-US" w:eastAsia="zh-CN"/>
        </w:rPr>
        <w:t>建设体系</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sz w:val="32"/>
          <w:szCs w:val="32"/>
          <w:lang w:eastAsia="zh-CN"/>
        </w:rPr>
        <w:t>同部署同安排，</w:t>
      </w:r>
      <w:r>
        <w:rPr>
          <w:rFonts w:hint="eastAsia" w:ascii="Times New Roman" w:hAnsi="Times New Roman" w:eastAsia="仿宋_GB2312" w:cs="仿宋_GB2312"/>
          <w:spacing w:val="0"/>
          <w:sz w:val="32"/>
          <w:szCs w:val="32"/>
        </w:rPr>
        <w:t>保障合理合法诉求</w:t>
      </w:r>
      <w:r>
        <w:rPr>
          <w:rFonts w:hint="eastAsia" w:ascii="Times New Roman" w:hAnsi="Times New Roman" w:eastAsia="仿宋_GB2312" w:cs="仿宋_GB2312"/>
          <w:spacing w:val="0"/>
          <w:sz w:val="32"/>
          <w:szCs w:val="32"/>
          <w:lang w:eastAsia="zh-CN"/>
        </w:rPr>
        <w:t>得到妥善</w:t>
      </w:r>
      <w:r>
        <w:rPr>
          <w:rFonts w:hint="eastAsia" w:ascii="Times New Roman" w:hAnsi="Times New Roman" w:eastAsia="仿宋_GB2312" w:cs="仿宋_GB2312"/>
          <w:spacing w:val="0"/>
          <w:sz w:val="32"/>
          <w:szCs w:val="32"/>
        </w:rPr>
        <w:t>解决。完善基层矛盾纠纷调处化解机制，通过法律途径分类处理信访投诉请求，积极引导信访人通过法定途径表达诉求、解决问题。积极构建多元化的矛盾纠纷化解机制，大力开展矛盾纠纷大排查大化解活动，切实发挥好人民调解、行政调解在调处矛盾纠纷的重要作用。贯彻落实《人民调解法》，健全人民调解组织网络，促进当事人平等协商、公平公正解决矛盾纠纷。精心规划，以</w:t>
      </w:r>
      <w:r>
        <w:rPr>
          <w:rFonts w:hint="eastAsia" w:ascii="Times New Roman" w:hAnsi="Times New Roman" w:eastAsia="仿宋_GB2312" w:cs="仿宋_GB2312"/>
          <w:spacing w:val="0"/>
          <w:sz w:val="32"/>
          <w:szCs w:val="32"/>
          <w:lang w:val="en-US" w:eastAsia="zh-CN"/>
        </w:rPr>
        <w:t>村</w:t>
      </w:r>
      <w:r>
        <w:rPr>
          <w:rFonts w:hint="eastAsia" w:ascii="Times New Roman" w:hAnsi="Times New Roman" w:eastAsia="仿宋_GB2312" w:cs="仿宋_GB2312"/>
          <w:spacing w:val="0"/>
          <w:sz w:val="32"/>
          <w:szCs w:val="32"/>
        </w:rPr>
        <w:t>为单元织密织牢人民调解网格，建立健全以</w:t>
      </w:r>
      <w:r>
        <w:rPr>
          <w:rFonts w:hint="eastAsia" w:ascii="Times New Roman" w:hAnsi="Times New Roman" w:eastAsia="仿宋_GB2312" w:cs="仿宋_GB2312"/>
          <w:spacing w:val="0"/>
          <w:sz w:val="32"/>
          <w:szCs w:val="32"/>
          <w:lang w:eastAsia="zh-CN"/>
        </w:rPr>
        <w:t>乡</w:t>
      </w:r>
      <w:r>
        <w:rPr>
          <w:rFonts w:hint="eastAsia" w:ascii="Times New Roman" w:hAnsi="Times New Roman" w:eastAsia="仿宋_GB2312" w:cs="仿宋_GB2312"/>
          <w:spacing w:val="0"/>
          <w:sz w:val="32"/>
          <w:szCs w:val="32"/>
        </w:rPr>
        <w:t>人民调解中心为龙头，村级调委会为基础的人民调解组织网格体系实现矛盾纠纷排查调处全覆盖。</w:t>
      </w:r>
    </w:p>
    <w:p w14:paraId="11153E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default" w:ascii="Times New Roman" w:hAnsi="Times New Roman" w:eastAsia="黑体" w:cs="黑体"/>
          <w:b w:val="0"/>
          <w:bCs/>
          <w:sz w:val="32"/>
          <w:szCs w:val="32"/>
          <w:lang w:val="en-US" w:eastAsia="zh-CN"/>
        </w:rPr>
      </w:pPr>
      <w:r>
        <w:rPr>
          <w:rStyle w:val="7"/>
          <w:rFonts w:hint="eastAsia" w:ascii="Times New Roman" w:hAnsi="Times New Roman" w:eastAsia="黑体" w:cs="黑体"/>
          <w:b w:val="0"/>
          <w:bCs/>
          <w:spacing w:val="0"/>
          <w:sz w:val="32"/>
          <w:szCs w:val="32"/>
        </w:rPr>
        <w:t>二、</w:t>
      </w:r>
      <w:r>
        <w:rPr>
          <w:rStyle w:val="7"/>
          <w:rFonts w:hint="eastAsia" w:ascii="Times New Roman" w:hAnsi="Times New Roman" w:eastAsia="黑体" w:cs="黑体"/>
          <w:b w:val="0"/>
          <w:bCs/>
          <w:spacing w:val="0"/>
          <w:sz w:val="32"/>
          <w:szCs w:val="32"/>
          <w:lang w:val="en-US" w:eastAsia="zh-CN"/>
        </w:rPr>
        <w:t>上一年度推进法治政府建设存在的不足和原因</w:t>
      </w:r>
    </w:p>
    <w:p w14:paraId="2A09E6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0"/>
          <w:sz w:val="32"/>
          <w:szCs w:val="32"/>
        </w:rPr>
        <w:t>202</w:t>
      </w: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年，</w:t>
      </w:r>
      <w:r>
        <w:rPr>
          <w:rFonts w:hint="eastAsia" w:ascii="Times New Roman" w:hAnsi="Times New Roman" w:eastAsia="仿宋_GB2312" w:cs="仿宋_GB2312"/>
          <w:spacing w:val="0"/>
          <w:sz w:val="32"/>
          <w:szCs w:val="32"/>
          <w:lang w:eastAsia="zh-CN"/>
        </w:rPr>
        <w:t>土门关乡</w:t>
      </w:r>
      <w:r>
        <w:rPr>
          <w:rFonts w:hint="eastAsia" w:ascii="Times New Roman" w:hAnsi="Times New Roman" w:eastAsia="仿宋_GB2312" w:cs="仿宋_GB2312"/>
          <w:spacing w:val="0"/>
          <w:sz w:val="32"/>
          <w:szCs w:val="32"/>
        </w:rPr>
        <w:t>法治政府建设在</w:t>
      </w:r>
      <w:r>
        <w:rPr>
          <w:rFonts w:hint="eastAsia" w:ascii="Times New Roman" w:hAnsi="Times New Roman" w:eastAsia="仿宋_GB2312" w:cs="仿宋_GB2312"/>
          <w:spacing w:val="0"/>
          <w:sz w:val="32"/>
          <w:szCs w:val="32"/>
          <w:lang w:eastAsia="zh-CN"/>
        </w:rPr>
        <w:t>区委</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sz w:val="32"/>
          <w:szCs w:val="32"/>
          <w:lang w:val="en-US" w:eastAsia="zh-CN"/>
        </w:rPr>
        <w:t>区</w:t>
      </w:r>
      <w:r>
        <w:rPr>
          <w:rFonts w:hint="eastAsia" w:ascii="Times New Roman" w:hAnsi="Times New Roman" w:eastAsia="仿宋_GB2312" w:cs="仿宋_GB2312"/>
          <w:spacing w:val="0"/>
          <w:sz w:val="32"/>
          <w:szCs w:val="32"/>
        </w:rPr>
        <w:t>政府的坚强领导下，在</w:t>
      </w:r>
      <w:r>
        <w:rPr>
          <w:rFonts w:hint="eastAsia" w:ascii="Times New Roman" w:hAnsi="Times New Roman" w:eastAsia="仿宋_GB2312" w:cs="仿宋_GB2312"/>
          <w:spacing w:val="0"/>
          <w:sz w:val="32"/>
          <w:szCs w:val="32"/>
          <w:lang w:val="en-US" w:eastAsia="zh-CN"/>
        </w:rPr>
        <w:t>区</w:t>
      </w:r>
      <w:r>
        <w:rPr>
          <w:rFonts w:hint="eastAsia" w:ascii="Times New Roman" w:hAnsi="Times New Roman" w:eastAsia="仿宋_GB2312" w:cs="仿宋_GB2312"/>
          <w:spacing w:val="0"/>
          <w:sz w:val="32"/>
          <w:szCs w:val="32"/>
        </w:rPr>
        <w:t>司法部门的大力支持下，虽然取得了一定成效，但与全</w:t>
      </w:r>
      <w:r>
        <w:rPr>
          <w:rFonts w:hint="eastAsia" w:ascii="Times New Roman" w:hAnsi="Times New Roman" w:eastAsia="仿宋_GB2312" w:cs="仿宋_GB2312"/>
          <w:spacing w:val="0"/>
          <w:sz w:val="32"/>
          <w:szCs w:val="32"/>
          <w:lang w:val="en-US" w:eastAsia="zh-CN"/>
        </w:rPr>
        <w:t>区</w:t>
      </w:r>
      <w:r>
        <w:rPr>
          <w:rFonts w:hint="eastAsia" w:ascii="Times New Roman" w:hAnsi="Times New Roman" w:eastAsia="仿宋_GB2312" w:cs="仿宋_GB2312"/>
          <w:spacing w:val="0"/>
          <w:sz w:val="32"/>
          <w:szCs w:val="32"/>
        </w:rPr>
        <w:t>法治政府建设的工作要求和群众的期盼还有一定差距，存在一些薄弱环节,主要表现在:</w:t>
      </w:r>
      <w:r>
        <w:rPr>
          <w:rStyle w:val="7"/>
          <w:rFonts w:hint="eastAsia" w:ascii="Times New Roman" w:hAnsi="Times New Roman" w:eastAsia="仿宋_GB2312" w:cs="仿宋_GB2312"/>
          <w:spacing w:val="0"/>
          <w:sz w:val="32"/>
          <w:szCs w:val="32"/>
        </w:rPr>
        <w:t>一是</w:t>
      </w:r>
      <w:r>
        <w:rPr>
          <w:rFonts w:hint="eastAsia" w:ascii="Times New Roman" w:hAnsi="Times New Roman" w:eastAsia="仿宋_GB2312" w:cs="仿宋_GB2312"/>
          <w:spacing w:val="0"/>
          <w:sz w:val="32"/>
          <w:szCs w:val="32"/>
        </w:rPr>
        <w:t>基层法治力量仍然相对薄弱，</w:t>
      </w:r>
      <w:r>
        <w:rPr>
          <w:rFonts w:hint="eastAsia" w:ascii="Times New Roman" w:hAnsi="Times New Roman" w:eastAsia="仿宋_GB2312" w:cs="仿宋_GB2312"/>
          <w:spacing w:val="0"/>
          <w:sz w:val="32"/>
          <w:szCs w:val="32"/>
          <w:lang w:val="en-US" w:eastAsia="zh-CN"/>
        </w:rPr>
        <w:t>工作</w:t>
      </w:r>
      <w:r>
        <w:rPr>
          <w:rFonts w:hint="eastAsia" w:ascii="Times New Roman" w:hAnsi="Times New Roman" w:eastAsia="仿宋_GB2312" w:cs="仿宋_GB2312"/>
          <w:spacing w:val="0"/>
          <w:sz w:val="32"/>
          <w:szCs w:val="32"/>
        </w:rPr>
        <w:t>人员</w:t>
      </w:r>
      <w:r>
        <w:rPr>
          <w:rFonts w:hint="eastAsia" w:ascii="Times New Roman" w:hAnsi="Times New Roman" w:eastAsia="仿宋_GB2312" w:cs="仿宋_GB2312"/>
          <w:spacing w:val="0"/>
          <w:sz w:val="32"/>
          <w:szCs w:val="32"/>
          <w:lang w:eastAsia="zh-CN"/>
        </w:rPr>
        <w:t>专业的</w:t>
      </w:r>
      <w:r>
        <w:rPr>
          <w:rFonts w:hint="eastAsia" w:ascii="Times New Roman" w:hAnsi="Times New Roman" w:eastAsia="仿宋_GB2312" w:cs="仿宋_GB2312"/>
          <w:spacing w:val="0"/>
          <w:sz w:val="32"/>
          <w:szCs w:val="32"/>
        </w:rPr>
        <w:t>业务水平有待进一步提高;</w:t>
      </w:r>
      <w:r>
        <w:rPr>
          <w:rStyle w:val="7"/>
          <w:rFonts w:hint="eastAsia" w:ascii="Times New Roman" w:hAnsi="Times New Roman" w:eastAsia="仿宋_GB2312" w:cs="仿宋_GB2312"/>
          <w:spacing w:val="0"/>
          <w:sz w:val="32"/>
          <w:szCs w:val="32"/>
        </w:rPr>
        <w:t>二是</w:t>
      </w:r>
      <w:r>
        <w:rPr>
          <w:rFonts w:hint="eastAsia" w:ascii="Times New Roman" w:hAnsi="Times New Roman" w:eastAsia="仿宋_GB2312" w:cs="仿宋_GB2312"/>
          <w:spacing w:val="0"/>
          <w:sz w:val="32"/>
          <w:szCs w:val="32"/>
        </w:rPr>
        <w:t>依法行政能力不强，干部运用法治思维和法治方式化解矛盾、维护稳定的能力不足；</w:t>
      </w:r>
      <w:r>
        <w:rPr>
          <w:rFonts w:hint="eastAsia" w:ascii="Times New Roman" w:hAnsi="Times New Roman" w:eastAsia="仿宋_GB2312" w:cs="仿宋_GB2312"/>
          <w:b/>
          <w:bCs/>
          <w:spacing w:val="0"/>
          <w:sz w:val="32"/>
          <w:szCs w:val="32"/>
          <w:lang w:val="en-US" w:eastAsia="zh-CN"/>
        </w:rPr>
        <w:t>三是</w:t>
      </w:r>
      <w:r>
        <w:rPr>
          <w:rFonts w:hint="eastAsia" w:ascii="Times New Roman" w:hAnsi="Times New Roman" w:eastAsia="仿宋_GB2312" w:cs="仿宋_GB2312"/>
          <w:spacing w:val="0"/>
          <w:sz w:val="32"/>
          <w:szCs w:val="32"/>
        </w:rPr>
        <w:t xml:space="preserve">法治宣传教育还没有完全入脑入心，村社普法宣传形式相对单一，深入群众程度不够，群众法律意识亟待提高。 </w:t>
      </w:r>
    </w:p>
    <w:p w14:paraId="7A96A8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pacing w:val="0"/>
          <w:sz w:val="32"/>
          <w:szCs w:val="32"/>
          <w:shd w:val="clear" w:fill="FFFFFF"/>
        </w:rPr>
        <w:t>下一步，</w:t>
      </w:r>
      <w:r>
        <w:rPr>
          <w:rFonts w:hint="eastAsia" w:ascii="Times New Roman" w:hAnsi="Times New Roman" w:eastAsia="仿宋_GB2312" w:cs="仿宋_GB2312"/>
          <w:spacing w:val="0"/>
          <w:sz w:val="32"/>
          <w:szCs w:val="32"/>
          <w:shd w:val="clear" w:fill="FFFFFF"/>
          <w:lang w:eastAsia="zh-CN"/>
        </w:rPr>
        <w:t>土门关乡</w:t>
      </w:r>
      <w:r>
        <w:rPr>
          <w:rFonts w:hint="eastAsia" w:ascii="Times New Roman" w:hAnsi="Times New Roman" w:eastAsia="仿宋_GB2312" w:cs="仿宋_GB2312"/>
          <w:spacing w:val="0"/>
          <w:sz w:val="32"/>
          <w:szCs w:val="32"/>
          <w:shd w:val="clear" w:fill="FFFFFF"/>
        </w:rPr>
        <w:t>将深入学习贯彻党的二十大</w:t>
      </w:r>
      <w:r>
        <w:rPr>
          <w:rFonts w:hint="eastAsia" w:ascii="Times New Roman" w:hAnsi="Times New Roman" w:eastAsia="仿宋_GB2312" w:cs="仿宋_GB2312"/>
          <w:spacing w:val="0"/>
          <w:sz w:val="32"/>
          <w:szCs w:val="32"/>
          <w:shd w:val="clear" w:fill="FFFFFF"/>
          <w:lang w:eastAsia="zh-CN"/>
        </w:rPr>
        <w:t>和</w:t>
      </w:r>
      <w:r>
        <w:rPr>
          <w:rFonts w:hint="eastAsia" w:ascii="Times New Roman" w:hAnsi="Times New Roman" w:eastAsia="仿宋_GB2312" w:cs="仿宋_GB2312"/>
          <w:spacing w:val="0"/>
          <w:sz w:val="32"/>
          <w:szCs w:val="32"/>
          <w:shd w:val="clear" w:fill="FFFFFF"/>
        </w:rPr>
        <w:t>二十届</w:t>
      </w:r>
      <w:r>
        <w:rPr>
          <w:rFonts w:hint="eastAsia" w:ascii="Times New Roman" w:hAnsi="Times New Roman" w:eastAsia="仿宋_GB2312" w:cs="仿宋_GB2312"/>
          <w:spacing w:val="0"/>
          <w:sz w:val="32"/>
          <w:szCs w:val="32"/>
          <w:shd w:val="clear" w:fill="FFFFFF"/>
          <w:lang w:val="en-US" w:eastAsia="zh-CN"/>
        </w:rPr>
        <w:t>三中、</w:t>
      </w:r>
      <w:r>
        <w:rPr>
          <w:rFonts w:hint="eastAsia" w:ascii="Times New Roman" w:hAnsi="Times New Roman" w:eastAsia="仿宋_GB2312" w:cs="仿宋_GB2312"/>
          <w:spacing w:val="0"/>
          <w:kern w:val="0"/>
          <w:sz w:val="32"/>
          <w:szCs w:val="32"/>
          <w:lang w:val="en-US" w:eastAsia="zh-CN" w:bidi="ar"/>
        </w:rPr>
        <w:t>四中全会精神，</w:t>
      </w:r>
      <w:r>
        <w:rPr>
          <w:rFonts w:hint="eastAsia" w:ascii="Times New Roman" w:hAnsi="Times New Roman" w:eastAsia="仿宋_GB2312" w:cs="仿宋_GB2312"/>
          <w:spacing w:val="0"/>
          <w:sz w:val="32"/>
          <w:szCs w:val="32"/>
          <w:shd w:val="clear" w:fill="FFFFFF"/>
        </w:rPr>
        <w:t>全面贯彻落实习近平法治思想，深入推进法治政府建设各项工作，不断推进</w:t>
      </w:r>
      <w:r>
        <w:rPr>
          <w:rFonts w:hint="eastAsia" w:ascii="Times New Roman" w:hAnsi="Times New Roman" w:eastAsia="仿宋_GB2312" w:cs="仿宋_GB2312"/>
          <w:spacing w:val="0"/>
          <w:sz w:val="32"/>
          <w:szCs w:val="32"/>
          <w:shd w:val="clear" w:fill="FFFFFF"/>
          <w:lang w:val="en-US" w:eastAsia="zh-CN"/>
        </w:rPr>
        <w:t>我</w:t>
      </w:r>
      <w:r>
        <w:rPr>
          <w:rFonts w:hint="eastAsia" w:ascii="Times New Roman" w:hAnsi="Times New Roman" w:eastAsia="仿宋_GB2312" w:cs="仿宋_GB2312"/>
          <w:spacing w:val="0"/>
          <w:sz w:val="32"/>
          <w:szCs w:val="32"/>
          <w:shd w:val="clear" w:fill="FFFFFF"/>
          <w:lang w:eastAsia="zh-CN"/>
        </w:rPr>
        <w:t>乡</w:t>
      </w:r>
      <w:r>
        <w:rPr>
          <w:rFonts w:hint="eastAsia" w:ascii="Times New Roman" w:hAnsi="Times New Roman" w:eastAsia="仿宋_GB2312" w:cs="仿宋_GB2312"/>
          <w:spacing w:val="0"/>
          <w:sz w:val="32"/>
          <w:szCs w:val="32"/>
          <w:shd w:val="clear" w:fill="FFFFFF"/>
        </w:rPr>
        <w:t>治理体系和治理能力现代化。</w:t>
      </w:r>
      <w:r>
        <w:rPr>
          <w:rStyle w:val="7"/>
          <w:rFonts w:hint="eastAsia" w:ascii="Times New Roman" w:hAnsi="Times New Roman" w:eastAsia="仿宋_GB2312" w:cs="仿宋_GB2312"/>
          <w:spacing w:val="0"/>
          <w:sz w:val="32"/>
          <w:szCs w:val="32"/>
          <w:shd w:val="clear" w:fill="FFFFFF"/>
        </w:rPr>
        <w:t>一是抓学习、强理论，牢固树立法治理念。</w:t>
      </w:r>
      <w:r>
        <w:rPr>
          <w:rFonts w:hint="eastAsia" w:ascii="Times New Roman" w:hAnsi="Times New Roman" w:eastAsia="仿宋_GB2312" w:cs="仿宋_GB2312"/>
          <w:spacing w:val="0"/>
          <w:sz w:val="32"/>
          <w:szCs w:val="32"/>
          <w:shd w:val="clear" w:fill="FFFFFF"/>
        </w:rPr>
        <w:t>加强法治理论学习培训，完善集中学法制度，通过党委理论学习中心组、专题研讨、专题党课等方式扎实推各类法律法规学深悟透、学用结合，着力提升领导干部法律意识、法治素养和依法行政能力。牢固树立“法无授权不可为”的基本法治理念，注重通过法治实践，促进工作人员做尊法学法守法用法的模范，从而进一步提升领导干部运用法治思维和法治方式深化改革、推动发展、化解矛盾、维护稳定、应对风险的能力。</w:t>
      </w:r>
      <w:r>
        <w:rPr>
          <w:rStyle w:val="7"/>
          <w:rFonts w:hint="eastAsia" w:ascii="Times New Roman" w:hAnsi="Times New Roman" w:eastAsia="仿宋_GB2312" w:cs="仿宋_GB2312"/>
          <w:spacing w:val="0"/>
          <w:sz w:val="32"/>
          <w:szCs w:val="32"/>
          <w:shd w:val="clear" w:fill="FFFFFF"/>
        </w:rPr>
        <w:t>二是抓规范、强监督，提升依法行政水平。</w:t>
      </w:r>
      <w:r>
        <w:rPr>
          <w:rFonts w:hint="eastAsia" w:ascii="Times New Roman" w:hAnsi="Times New Roman" w:eastAsia="仿宋_GB2312" w:cs="仿宋_GB2312"/>
          <w:spacing w:val="0"/>
          <w:sz w:val="32"/>
          <w:szCs w:val="32"/>
          <w:shd w:val="clear" w:fill="FFFFFF"/>
        </w:rPr>
        <w:t>全面推进严格规范公正文明执法，加大关系群众切身利益的重点领域执法力度，完善行政执法程序，加大</w:t>
      </w:r>
      <w:r>
        <w:rPr>
          <w:rFonts w:hint="eastAsia" w:ascii="Times New Roman" w:hAnsi="Times New Roman" w:eastAsia="仿宋_GB2312" w:cs="仿宋_GB2312"/>
          <w:spacing w:val="0"/>
          <w:sz w:val="32"/>
          <w:szCs w:val="32"/>
          <w:shd w:val="clear" w:fill="FFFFFF"/>
          <w:lang w:eastAsia="zh-CN"/>
        </w:rPr>
        <w:t>司法所、城管等</w:t>
      </w:r>
      <w:r>
        <w:rPr>
          <w:rFonts w:hint="eastAsia" w:ascii="Times New Roman" w:hAnsi="Times New Roman" w:eastAsia="仿宋_GB2312" w:cs="仿宋_GB2312"/>
          <w:spacing w:val="0"/>
          <w:sz w:val="32"/>
          <w:szCs w:val="32"/>
          <w:shd w:val="clear" w:fill="FFFFFF"/>
        </w:rPr>
        <w:t>执法人员业务培训，提高依法行政能力。坚持抓早抓小，针对婚姻家庭、</w:t>
      </w:r>
      <w:r>
        <w:rPr>
          <w:rFonts w:hint="eastAsia" w:ascii="Times New Roman" w:hAnsi="Times New Roman" w:eastAsia="仿宋_GB2312" w:cs="仿宋_GB2312"/>
          <w:spacing w:val="0"/>
          <w:sz w:val="32"/>
          <w:szCs w:val="32"/>
          <w:shd w:val="clear" w:fill="FFFFFF"/>
          <w:lang w:eastAsia="zh-CN"/>
        </w:rPr>
        <w:t>土地纠纷</w:t>
      </w:r>
      <w:r>
        <w:rPr>
          <w:rFonts w:hint="eastAsia" w:ascii="Times New Roman" w:hAnsi="Times New Roman" w:eastAsia="仿宋_GB2312" w:cs="仿宋_GB2312"/>
          <w:spacing w:val="0"/>
          <w:sz w:val="32"/>
          <w:szCs w:val="32"/>
          <w:shd w:val="clear" w:fill="FFFFFF"/>
        </w:rPr>
        <w:t>、合同纠纷</w:t>
      </w:r>
      <w:r>
        <w:rPr>
          <w:rFonts w:hint="eastAsia" w:ascii="Times New Roman" w:hAnsi="Times New Roman" w:eastAsia="仿宋_GB2312" w:cs="仿宋_GB2312"/>
          <w:spacing w:val="0"/>
          <w:sz w:val="32"/>
          <w:szCs w:val="32"/>
          <w:shd w:val="clear" w:fill="FFFFFF"/>
          <w:lang w:eastAsia="zh-CN"/>
        </w:rPr>
        <w:t>、邻里纠纷</w:t>
      </w:r>
      <w:r>
        <w:rPr>
          <w:rFonts w:hint="eastAsia" w:ascii="Times New Roman" w:hAnsi="Times New Roman" w:eastAsia="仿宋_GB2312" w:cs="仿宋_GB2312"/>
          <w:spacing w:val="0"/>
          <w:sz w:val="32"/>
          <w:szCs w:val="32"/>
          <w:shd w:val="clear" w:fill="FFFFFF"/>
        </w:rPr>
        <w:t>等矛盾纠纷多发领域，扎实开展排查化解</w:t>
      </w:r>
      <w:r>
        <w:rPr>
          <w:rFonts w:hint="eastAsia" w:ascii="Times New Roman" w:hAnsi="Times New Roman" w:eastAsia="仿宋_GB2312" w:cs="仿宋_GB2312"/>
          <w:spacing w:val="0"/>
          <w:sz w:val="32"/>
          <w:szCs w:val="32"/>
          <w:shd w:val="clear" w:fill="FFFFFF"/>
          <w:lang w:eastAsia="zh-CN"/>
        </w:rPr>
        <w:t>工作</w:t>
      </w:r>
      <w:r>
        <w:rPr>
          <w:rFonts w:hint="eastAsia" w:ascii="Times New Roman" w:hAnsi="Times New Roman" w:eastAsia="仿宋_GB2312" w:cs="仿宋_GB2312"/>
          <w:spacing w:val="0"/>
          <w:sz w:val="32"/>
          <w:szCs w:val="32"/>
          <w:shd w:val="clear" w:fill="FFFFFF"/>
        </w:rPr>
        <w:t>，及时获取引发矛盾纠纷的苗头性、倾向性、预警性信息，强化社会监督，进一步完善群众投诉、举报违法行为制度和途径，认真受理群众来信来访，依法妥善处理好各类社会矛盾。</w:t>
      </w:r>
      <w:r>
        <w:rPr>
          <w:rStyle w:val="7"/>
          <w:rFonts w:hint="eastAsia" w:ascii="Times New Roman" w:hAnsi="Times New Roman" w:eastAsia="仿宋_GB2312" w:cs="仿宋_GB2312"/>
          <w:spacing w:val="0"/>
          <w:sz w:val="32"/>
          <w:szCs w:val="32"/>
          <w:shd w:val="clear" w:fill="FFFFFF"/>
        </w:rPr>
        <w:t>三是抓宣传、强教育，增强群众法治意识。</w:t>
      </w:r>
      <w:r>
        <w:rPr>
          <w:rFonts w:hint="eastAsia" w:ascii="Times New Roman" w:hAnsi="Times New Roman" w:eastAsia="仿宋_GB2312" w:cs="仿宋_GB2312"/>
          <w:spacing w:val="0"/>
          <w:sz w:val="32"/>
          <w:szCs w:val="32"/>
          <w:shd w:val="clear" w:fill="FFFFFF"/>
        </w:rPr>
        <w:t>坚持把法治宣传教育纳入</w:t>
      </w:r>
      <w:r>
        <w:rPr>
          <w:rFonts w:hint="eastAsia" w:ascii="Times New Roman" w:hAnsi="Times New Roman" w:eastAsia="仿宋_GB2312" w:cs="仿宋_GB2312"/>
          <w:spacing w:val="0"/>
          <w:sz w:val="32"/>
          <w:szCs w:val="32"/>
          <w:shd w:val="clear" w:fill="FFFFFF"/>
          <w:lang w:eastAsia="zh-CN"/>
        </w:rPr>
        <w:t>乡</w:t>
      </w:r>
      <w:r>
        <w:rPr>
          <w:rFonts w:hint="eastAsia" w:ascii="Times New Roman" w:hAnsi="Times New Roman" w:eastAsia="仿宋_GB2312" w:cs="仿宋_GB2312"/>
          <w:spacing w:val="0"/>
          <w:sz w:val="32"/>
          <w:szCs w:val="32"/>
          <w:shd w:val="clear" w:fill="FFFFFF"/>
        </w:rPr>
        <w:t>年度重点工作</w:t>
      </w:r>
      <w:r>
        <w:rPr>
          <w:rFonts w:hint="eastAsia" w:ascii="Times New Roman" w:hAnsi="Times New Roman" w:eastAsia="仿宋_GB2312" w:cs="仿宋_GB2312"/>
          <w:spacing w:val="0"/>
          <w:sz w:val="32"/>
          <w:szCs w:val="32"/>
          <w:shd w:val="clear" w:fill="FFFFFF"/>
          <w:lang w:eastAsia="zh-CN"/>
        </w:rPr>
        <w:t>进行</w:t>
      </w:r>
      <w:r>
        <w:rPr>
          <w:rFonts w:hint="eastAsia" w:ascii="Times New Roman" w:hAnsi="Times New Roman" w:eastAsia="仿宋_GB2312" w:cs="仿宋_GB2312"/>
          <w:spacing w:val="0"/>
          <w:sz w:val="32"/>
          <w:szCs w:val="32"/>
          <w:shd w:val="clear" w:fill="FFFFFF"/>
        </w:rPr>
        <w:t>安排部署，制定实施法治宣传教育方案，充分利用“三会一课”、党日活动等时机</w:t>
      </w:r>
      <w:r>
        <w:rPr>
          <w:rFonts w:hint="eastAsia" w:ascii="Times New Roman" w:hAnsi="Times New Roman" w:eastAsia="仿宋_GB2312" w:cs="仿宋_GB2312"/>
          <w:spacing w:val="0"/>
          <w:sz w:val="32"/>
          <w:szCs w:val="32"/>
          <w:shd w:val="clear" w:fill="FFFFFF"/>
          <w:lang w:eastAsia="zh-CN"/>
        </w:rPr>
        <w:t>，</w:t>
      </w:r>
      <w:r>
        <w:rPr>
          <w:rFonts w:hint="eastAsia" w:ascii="Times New Roman" w:hAnsi="Times New Roman" w:eastAsia="仿宋_GB2312" w:cs="仿宋_GB2312"/>
          <w:spacing w:val="0"/>
          <w:sz w:val="32"/>
          <w:szCs w:val="32"/>
          <w:shd w:val="clear" w:fill="FFFFFF"/>
        </w:rPr>
        <w:t>广泛深入开展法治宣传</w:t>
      </w:r>
      <w:r>
        <w:rPr>
          <w:rFonts w:hint="eastAsia" w:ascii="Times New Roman" w:hAnsi="Times New Roman" w:eastAsia="仿宋_GB2312" w:cs="仿宋_GB2312"/>
          <w:spacing w:val="0"/>
          <w:sz w:val="32"/>
          <w:szCs w:val="32"/>
          <w:shd w:val="clear" w:fill="FFFFFF"/>
          <w:lang w:eastAsia="zh-CN"/>
        </w:rPr>
        <w:t>。</w:t>
      </w:r>
      <w:r>
        <w:rPr>
          <w:rFonts w:hint="eastAsia" w:ascii="Times New Roman" w:hAnsi="Times New Roman" w:eastAsia="仿宋_GB2312" w:cs="仿宋_GB2312"/>
          <w:spacing w:val="0"/>
          <w:sz w:val="32"/>
          <w:szCs w:val="32"/>
          <w:shd w:val="clear" w:fill="FFFFFF"/>
        </w:rPr>
        <w:t>结合全民国家安全日、民法典宣讲日、宪法日、宪法宣传周等特殊节点，开展普法、禁毒，安全生产、国安宣传教育工作，全方位推进法治宣传，大力营造良好的法治氛围，让群众学法知法、守法用法，不断提高群众对法治政府建设工作的满意度。</w:t>
      </w:r>
    </w:p>
    <w:p w14:paraId="16AC360E">
      <w:pPr>
        <w:pStyle w:val="3"/>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楷体_GB2312" w:cs="楷体_GB2312"/>
          <w:color w:val="auto"/>
          <w:kern w:val="2"/>
          <w:sz w:val="32"/>
          <w:szCs w:val="32"/>
          <w:lang w:val="en-US" w:eastAsia="zh-CN" w:bidi="ar-SA"/>
        </w:rPr>
      </w:pPr>
      <w:r>
        <w:rPr>
          <w:rFonts w:hint="eastAsia" w:ascii="Times New Roman" w:hAnsi="Times New Roman" w:eastAsia="黑体" w:cs="黑体"/>
          <w:sz w:val="32"/>
          <w:szCs w:val="32"/>
          <w:lang w:val="en-US" w:eastAsia="zh-CN"/>
        </w:rPr>
        <w:t>三、上一年度党政主要负责人履行推进法治建设第一责任人职责，加强法治政府建设的有关情况</w:t>
      </w:r>
    </w:p>
    <w:p w14:paraId="4529246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b/>
          <w:bCs/>
          <w:color w:val="auto"/>
          <w:sz w:val="32"/>
          <w:szCs w:val="32"/>
          <w:lang w:val="en-US" w:eastAsia="zh-CN"/>
        </w:rPr>
        <w:t>(一)推动落实普法责任制。</w:t>
      </w:r>
      <w:r>
        <w:rPr>
          <w:rFonts w:hint="eastAsia" w:ascii="Times New Roman" w:hAnsi="Times New Roman" w:eastAsia="仿宋_GB2312" w:cs="仿宋_GB2312"/>
          <w:color w:val="auto"/>
          <w:sz w:val="32"/>
          <w:szCs w:val="32"/>
          <w:lang w:val="en-US" w:eastAsia="zh-CN"/>
        </w:rPr>
        <w:t>党委书记切实履行推进法治建设第一责任人责任，认真贯彻落实《党政主要负责人履行推进法治建设第一责任人职责规定》，成立以主要负责人任组长、班子成员任副组长、各科室主要负责人为成员的普法领导小组，制定工作实施方案，指定专人负责普法及法治政府建设工作。在日常行政执法、窗口服务等工作中，专人管理、专人普法，切实做到“谁执法谁普法”“谁管理谁普法”“谁服务谁普法”。</w:t>
      </w:r>
    </w:p>
    <w:p w14:paraId="5D23772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b/>
          <w:bCs/>
          <w:color w:val="auto"/>
          <w:kern w:val="0"/>
          <w:sz w:val="32"/>
          <w:szCs w:val="32"/>
          <w:lang w:val="en-US" w:eastAsia="zh-CN" w:bidi="ar"/>
        </w:rPr>
        <w:t>（二）党政主要负责人履行推进法治建设第一责任人职责。</w:t>
      </w:r>
      <w:r>
        <w:rPr>
          <w:rFonts w:hint="eastAsia" w:ascii="Times New Roman" w:hAnsi="Times New Roman" w:eastAsia="仿宋_GB2312" w:cs="仿宋_GB2312"/>
          <w:color w:val="auto"/>
          <w:sz w:val="32"/>
          <w:szCs w:val="32"/>
          <w:lang w:val="en-US" w:eastAsia="zh-CN"/>
        </w:rPr>
        <w:t>将主要负责人履行推进法治建设第一责任人职责情况列入年终述职内容，通过述法总结工作、接受监督、发现问题、督促整改提升主要负责人法治素养和法治能力，推进法治建设各项任务落地落实。认真贯彻落实《党政主要负责人履行推进法治建设第一责任人职责规定》，以创新、务实、管用的举措，切实把负责守责、尽责体现到法治建设全过程、各方面，推动法治建设向纵深发展。</w:t>
      </w:r>
    </w:p>
    <w:p w14:paraId="1FCE4A9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b/>
          <w:bCs/>
          <w:color w:val="auto"/>
          <w:kern w:val="0"/>
          <w:sz w:val="32"/>
          <w:szCs w:val="32"/>
          <w:lang w:val="en-US" w:eastAsia="zh-CN" w:bidi="ar"/>
        </w:rPr>
        <w:t>（三）强化纠纷调解，维护社会和谐稳定。</w:t>
      </w:r>
      <w:r>
        <w:rPr>
          <w:rFonts w:hint="eastAsia" w:ascii="Times New Roman" w:hAnsi="Times New Roman" w:eastAsia="仿宋_GB2312" w:cs="仿宋_GB2312"/>
          <w:b/>
          <w:bCs/>
          <w:color w:val="auto"/>
          <w:sz w:val="32"/>
          <w:szCs w:val="32"/>
          <w:lang w:val="en-US" w:eastAsia="zh-CN"/>
        </w:rPr>
        <w:t>一是</w:t>
      </w:r>
      <w:r>
        <w:rPr>
          <w:rFonts w:hint="eastAsia" w:ascii="Times New Roman" w:hAnsi="Times New Roman" w:eastAsia="仿宋_GB2312" w:cs="仿宋_GB2312"/>
          <w:color w:val="auto"/>
          <w:sz w:val="32"/>
          <w:szCs w:val="32"/>
          <w:lang w:val="en-US" w:eastAsia="zh-CN"/>
        </w:rPr>
        <w:t>建立矛盾纠纷排查调处机制。在房屋土地征收、社会保障、环境保护、公共安全等矛盾纠纷相对高发领域，建立矛盾纠纷排查调处机制，坚持收集矛盾排查线索并及时化解，强化源头治理防范。坚持和发展好新时代“枫桥经验”，大力推广“三分吸附法”先进经验，切实发挥“老支书”调解室的独有调解方式，切实做到“减存量、清库存、控增量”。</w:t>
      </w:r>
      <w:r>
        <w:rPr>
          <w:rFonts w:hint="eastAsia" w:ascii="Times New Roman" w:hAnsi="Times New Roman" w:eastAsia="仿宋_GB2312" w:cs="仿宋_GB2312"/>
          <w:b/>
          <w:bCs/>
          <w:color w:val="auto"/>
          <w:sz w:val="32"/>
          <w:szCs w:val="32"/>
          <w:lang w:val="en-US" w:eastAsia="zh-CN"/>
        </w:rPr>
        <w:t>二是</w:t>
      </w:r>
      <w:r>
        <w:rPr>
          <w:rFonts w:hint="eastAsia" w:ascii="Times New Roman" w:hAnsi="Times New Roman" w:eastAsia="仿宋_GB2312" w:cs="仿宋_GB2312"/>
          <w:color w:val="auto"/>
          <w:sz w:val="32"/>
          <w:szCs w:val="32"/>
          <w:lang w:val="en-US" w:eastAsia="zh-CN"/>
        </w:rPr>
        <w:t>依法规范信访行为。将信访纳入法治化轨道，保障合理合法诉求依照法律规定和程序得到合理合法解决。完善基层矛盾纠纷调处化解机制，通过分类处理信访投诉请求，积极引导信访人通过法定途径表达诉求、解决问题。</w:t>
      </w:r>
    </w:p>
    <w:p w14:paraId="6B0C0C5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四、下一年度推进法治政府建设的主要安排</w:t>
      </w:r>
    </w:p>
    <w:p w14:paraId="221850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我乡</w:t>
      </w:r>
      <w:r>
        <w:rPr>
          <w:rFonts w:hint="eastAsia" w:ascii="Times New Roman" w:hAnsi="Times New Roman" w:eastAsia="仿宋_GB2312" w:cs="仿宋_GB2312"/>
          <w:sz w:val="32"/>
          <w:szCs w:val="32"/>
        </w:rPr>
        <w:t>将全面落实习近平法治思想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继续深入学习贯彻党的二十届三中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中全会</w:t>
      </w:r>
      <w:r>
        <w:rPr>
          <w:rFonts w:hint="eastAsia" w:ascii="Times New Roman" w:hAnsi="Times New Roman" w:eastAsia="仿宋_GB2312" w:cs="仿宋_GB2312"/>
          <w:sz w:val="32"/>
          <w:szCs w:val="32"/>
          <w:lang w:val="en-US" w:eastAsia="zh-CN"/>
        </w:rPr>
        <w:t>精神</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进一步</w:t>
      </w:r>
      <w:r>
        <w:rPr>
          <w:rFonts w:hint="eastAsia" w:ascii="Times New Roman" w:hAnsi="Times New Roman" w:eastAsia="仿宋_GB2312" w:cs="仿宋_GB2312"/>
          <w:sz w:val="32"/>
          <w:szCs w:val="32"/>
        </w:rPr>
        <w:t>推进法治政府建设各项工作，不断推进领域治理体系和治理能力现代化</w:t>
      </w:r>
      <w:r>
        <w:rPr>
          <w:rFonts w:hint="eastAsia" w:ascii="Times New Roman" w:hAnsi="Times New Roman" w:eastAsia="仿宋_GB2312" w:cs="仿宋_GB2312"/>
          <w:sz w:val="32"/>
          <w:szCs w:val="32"/>
          <w:lang w:eastAsia="zh-CN"/>
        </w:rPr>
        <w:t>。</w:t>
      </w:r>
    </w:p>
    <w:p w14:paraId="67FF23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sz w:val="32"/>
          <w:szCs w:val="32"/>
        </w:rPr>
        <w:t>（一）加强依法行政意识培养</w:t>
      </w:r>
      <w:r>
        <w:rPr>
          <w:rFonts w:hint="eastAsia" w:ascii="Times New Roman" w:hAnsi="Times New Roman" w:eastAsia="楷体_GB2312" w:cs="楷体_GB2312"/>
          <w:b/>
          <w:bCs/>
          <w:sz w:val="32"/>
          <w:szCs w:val="32"/>
          <w:lang w:eastAsia="zh-CN"/>
        </w:rPr>
        <w:t>。</w:t>
      </w:r>
      <w:r>
        <w:rPr>
          <w:rFonts w:hint="eastAsia" w:ascii="Times New Roman" w:hAnsi="Times New Roman" w:eastAsia="仿宋_GB2312" w:cs="仿宋_GB2312"/>
          <w:sz w:val="32"/>
          <w:szCs w:val="32"/>
        </w:rPr>
        <w:t>持续开展法治教育培训，加强对政府工作人员的法治理念教育，提高依法行政的自觉性和主动性；建立健全考核机制，将依法行政工作纳入政府绩效考核体系</w:t>
      </w:r>
      <w:r>
        <w:rPr>
          <w:rFonts w:hint="eastAsia" w:ascii="Times New Roman" w:hAnsi="Times New Roman" w:eastAsia="仿宋_GB2312" w:cs="仿宋_GB2312"/>
          <w:sz w:val="32"/>
          <w:szCs w:val="32"/>
          <w:lang w:eastAsia="zh-CN"/>
        </w:rPr>
        <w:t>。</w:t>
      </w:r>
    </w:p>
    <w:p w14:paraId="706E3F2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rPr>
        <w:t>）加强执法协作机制建设</w:t>
      </w:r>
      <w:r>
        <w:rPr>
          <w:rFonts w:hint="eastAsia" w:ascii="Times New Roman" w:hAnsi="Times New Roman" w:eastAsia="楷体_GB2312" w:cs="楷体_GB2312"/>
          <w:b/>
          <w:bCs/>
          <w:sz w:val="32"/>
          <w:szCs w:val="32"/>
          <w:lang w:eastAsia="zh-CN"/>
        </w:rPr>
        <w:t>。</w:t>
      </w:r>
      <w:r>
        <w:rPr>
          <w:rFonts w:hint="eastAsia" w:ascii="Times New Roman" w:hAnsi="Times New Roman" w:eastAsia="仿宋_GB2312" w:cs="仿宋_GB2312"/>
          <w:sz w:val="32"/>
          <w:szCs w:val="32"/>
        </w:rPr>
        <w:t>深化与</w:t>
      </w:r>
      <w:r>
        <w:rPr>
          <w:rFonts w:hint="eastAsia" w:ascii="Times New Roman" w:hAnsi="Times New Roman" w:eastAsia="仿宋_GB2312" w:cs="仿宋_GB2312"/>
          <w:sz w:val="32"/>
          <w:szCs w:val="32"/>
          <w:lang w:val="en-US" w:eastAsia="zh-CN"/>
        </w:rPr>
        <w:t>区</w:t>
      </w:r>
      <w:r>
        <w:rPr>
          <w:rFonts w:hint="eastAsia" w:ascii="Times New Roman" w:hAnsi="Times New Roman" w:eastAsia="仿宋_GB2312" w:cs="仿宋_GB2312"/>
          <w:sz w:val="32"/>
          <w:szCs w:val="32"/>
        </w:rPr>
        <w:t>级执法部门的协作，建立“乡镇吹哨、部门报到”机制，提高联合执法效率。争取</w:t>
      </w:r>
      <w:r>
        <w:rPr>
          <w:rFonts w:hint="eastAsia" w:ascii="Times New Roman" w:hAnsi="Times New Roman" w:eastAsia="仿宋_GB2312" w:cs="仿宋_GB2312"/>
          <w:sz w:val="32"/>
          <w:szCs w:val="32"/>
          <w:lang w:val="en-US" w:eastAsia="zh-CN"/>
        </w:rPr>
        <w:t>区</w:t>
      </w:r>
      <w:r>
        <w:rPr>
          <w:rFonts w:hint="eastAsia" w:ascii="Times New Roman" w:hAnsi="Times New Roman" w:eastAsia="仿宋_GB2312" w:cs="仿宋_GB2312"/>
          <w:sz w:val="32"/>
          <w:szCs w:val="32"/>
        </w:rPr>
        <w:t>级支持，推动执法力量下沉，试点开展“乡镇综合执法”模式。</w:t>
      </w:r>
    </w:p>
    <w:p w14:paraId="33B1B135">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rPr>
        <w:t>）深化法治宣传教育工作</w:t>
      </w:r>
      <w:r>
        <w:rPr>
          <w:rFonts w:hint="eastAsia" w:ascii="Times New Roman" w:hAnsi="Times New Roman" w:eastAsia="楷体_GB2312" w:cs="楷体_GB2312"/>
          <w:b/>
          <w:bCs/>
          <w:sz w:val="32"/>
          <w:szCs w:val="32"/>
          <w:lang w:eastAsia="zh-CN"/>
        </w:rPr>
        <w:t>。</w:t>
      </w:r>
      <w:r>
        <w:rPr>
          <w:rFonts w:hint="eastAsia" w:ascii="Times New Roman" w:hAnsi="Times New Roman" w:eastAsia="仿宋_GB2312" w:cs="仿宋_GB2312"/>
          <w:sz w:val="32"/>
          <w:szCs w:val="32"/>
        </w:rPr>
        <w:t>创新法治宣传教育形式和内容，结合</w:t>
      </w:r>
      <w:r>
        <w:rPr>
          <w:rFonts w:hint="eastAsia" w:ascii="Times New Roman" w:hAnsi="Times New Roman" w:eastAsia="仿宋_GB2312" w:cs="仿宋_GB2312"/>
          <w:sz w:val="32"/>
          <w:szCs w:val="32"/>
          <w:lang w:eastAsia="zh-CN"/>
        </w:rPr>
        <w:t>我乡</w:t>
      </w:r>
      <w:r>
        <w:rPr>
          <w:rFonts w:hint="eastAsia" w:ascii="Times New Roman" w:hAnsi="Times New Roman" w:eastAsia="仿宋_GB2312" w:cs="仿宋_GB2312"/>
          <w:sz w:val="32"/>
          <w:szCs w:val="32"/>
        </w:rPr>
        <w:t>实际，开展有针对性的法治宣传活动，提高群众的法律意识和法律素质；加强法治文化建设，打造法治文化阵地，营造浓厚的法治氛围，推动法治</w:t>
      </w:r>
      <w:r>
        <w:rPr>
          <w:rFonts w:hint="eastAsia" w:ascii="Times New Roman" w:hAnsi="Times New Roman" w:eastAsia="仿宋_GB2312" w:cs="仿宋_GB2312"/>
          <w:sz w:val="32"/>
          <w:szCs w:val="32"/>
          <w:lang w:eastAsia="zh-CN"/>
        </w:rPr>
        <w:t>我乡</w:t>
      </w:r>
      <w:r>
        <w:rPr>
          <w:rFonts w:hint="eastAsia" w:ascii="Times New Roman" w:hAnsi="Times New Roman" w:eastAsia="仿宋_GB2312" w:cs="仿宋_GB2312"/>
          <w:sz w:val="32"/>
          <w:szCs w:val="32"/>
        </w:rPr>
        <w:t>建设深入开展</w:t>
      </w:r>
    </w:p>
    <w:p w14:paraId="7CA6E36C">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（四）推动法治宣传落实落地。</w:t>
      </w:r>
      <w:r>
        <w:rPr>
          <w:rFonts w:hint="eastAsia" w:ascii="Times New Roman" w:hAnsi="Times New Roman" w:eastAsia="仿宋_GB2312" w:cs="仿宋_GB2312"/>
          <w:sz w:val="32"/>
          <w:szCs w:val="32"/>
          <w:lang w:val="en-US" w:eastAsia="zh-CN"/>
        </w:rPr>
        <w:t>组织人民调解员、法律明白人等相关人员常态化开展矛盾纠纷排查调处工作，强化源头化解，坚持抓早抓小，针对婚姻家庭、邻里建房、合同纠纷等矛盾纠纷多发领域，扎实开展矛盾纠纷排查化解，及时获取引发矛盾纠纷的苗头性、倾向性、预警性信息，准确把握辖区内各类矛盾纠纷动态，提前做好防范措施。</w:t>
      </w:r>
    </w:p>
    <w:p w14:paraId="7CEE1C8B">
      <w:pPr>
        <w:keepNext w:val="0"/>
        <w:keepLines w:val="0"/>
        <w:pageBreakBefore w:val="0"/>
        <w:kinsoku/>
        <w:wordWrap/>
        <w:overflowPunct/>
        <w:topLinePunct w:val="0"/>
        <w:autoSpaceDE/>
        <w:autoSpaceDN/>
        <w:bidi w:val="0"/>
        <w:adjustRightInd/>
        <w:snapToGrid/>
        <w:spacing w:beforeAutospacing="0" w:afterAutospacing="0" w:line="550" w:lineRule="exact"/>
        <w:ind w:firstLine="640" w:firstLineChars="200"/>
        <w:jc w:val="center"/>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20551"/>
    <w:rsid w:val="0C9E222B"/>
    <w:rsid w:val="0E214EC1"/>
    <w:rsid w:val="12A165D1"/>
    <w:rsid w:val="185A6ADD"/>
    <w:rsid w:val="19FE255B"/>
    <w:rsid w:val="1A8707A2"/>
    <w:rsid w:val="1E1765E7"/>
    <w:rsid w:val="1FCA7FAD"/>
    <w:rsid w:val="251B66B7"/>
    <w:rsid w:val="25B31AA2"/>
    <w:rsid w:val="27DF7BD1"/>
    <w:rsid w:val="2870041B"/>
    <w:rsid w:val="2AE616CC"/>
    <w:rsid w:val="2F3012F5"/>
    <w:rsid w:val="2FC06184"/>
    <w:rsid w:val="37452C9B"/>
    <w:rsid w:val="39BA2B1B"/>
    <w:rsid w:val="40CB0B39"/>
    <w:rsid w:val="410176A8"/>
    <w:rsid w:val="41F835FA"/>
    <w:rsid w:val="435C016E"/>
    <w:rsid w:val="48497FAC"/>
    <w:rsid w:val="4B62209A"/>
    <w:rsid w:val="51F73589"/>
    <w:rsid w:val="532F31A9"/>
    <w:rsid w:val="5572737D"/>
    <w:rsid w:val="558A46C7"/>
    <w:rsid w:val="57D460CD"/>
    <w:rsid w:val="5BC546AB"/>
    <w:rsid w:val="5EC547D9"/>
    <w:rsid w:val="5F36799A"/>
    <w:rsid w:val="67FE514F"/>
    <w:rsid w:val="6E0C0F5A"/>
    <w:rsid w:val="6E277A0D"/>
    <w:rsid w:val="6F3C720D"/>
    <w:rsid w:val="7F285991"/>
    <w:rsid w:val="7FA1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880" w:firstLineChars="200"/>
    </w:pPr>
    <w:rPr>
      <w:rFonts w:ascii="Calibri" w:hAnsi="Calibri"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4123</Words>
  <Characters>4156</Characters>
  <Lines>0</Lines>
  <Paragraphs>0</Paragraphs>
  <TotalTime>4</TotalTime>
  <ScaleCrop>false</ScaleCrop>
  <LinksUpToDate>false</LinksUpToDate>
  <CharactersWithSpaces>4192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2024-11-22T08:18:00Z</dcterms:created>
  <dc:creator>ADMAN</dc:creator>
  <cp:lastModifiedBy>心安</cp:lastModifiedBy>
  <cp:lastPrinted>2025-12-01T09:36:00Z</cp:lastPrinted>
  <dcterms:modified xsi:type="dcterms:W3CDTF">2026-03-19T01:08:52Z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2DF688C7D5C4409298DF322F79830626_13</vt:lpwstr>
  </property>
  <property fmtid="{D5CDD505-2E9C-101B-9397-08002B2CF9AE}" pid="4" name="KSOTemplateDocerSaveRecord">
    <vt:lpwstr>eyJoZGlkIjoiNTk1ZmVkMTdkZGI2OWQ1MmFkZDY3ZDE5OTQxZmMxODYiLCJ1c2VySWQiOiI3NzI1MjYxNTUifQ==</vt:lpwstr>
  </property>
</Properties>
</file>