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358" w:line="219" w:lineRule="auto"/>
        <w:ind w:left="373"/>
        <w:rPr>
          <w:rFonts w:ascii="宋体" w:hAnsi="宋体" w:eastAsia="宋体" w:cs="宋体"/>
          <w:sz w:val="110"/>
          <w:szCs w:val="110"/>
        </w:rPr>
      </w:pPr>
      <w:r>
        <w:rPr>
          <w:rFonts w:ascii="宋体" w:hAnsi="宋体" w:eastAsia="宋体" w:cs="宋体"/>
          <w:b/>
          <w:bCs/>
          <w:color w:val="F01F00"/>
          <w:spacing w:val="-134"/>
          <w:w w:val="95"/>
          <w:sz w:val="110"/>
          <w:szCs w:val="110"/>
        </w:rPr>
        <w:t>西宁市湟中区财政局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219" w:lineRule="auto"/>
        <w:ind w:left="29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湟财字〔2022〕191号</w:t>
      </w:r>
    </w:p>
    <w:p>
      <w:pPr>
        <w:spacing w:line="416" w:lineRule="auto"/>
        <w:rPr>
          <w:rFonts w:ascii="Arial"/>
          <w:sz w:val="21"/>
        </w:rPr>
      </w:pPr>
    </w:p>
    <w:p>
      <w:pPr>
        <w:spacing w:line="60" w:lineRule="exact"/>
        <w:textAlignment w:val="center"/>
      </w:pPr>
      <w:r>
        <w:drawing>
          <wp:inline distT="0" distB="0" distL="0" distR="0">
            <wp:extent cx="556260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2641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70" w:line="220" w:lineRule="auto"/>
        <w:ind w:left="1025" w:right="408" w:hanging="78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关于下达2022年中央第二批财政衔接推进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乡村振兴补助资金预算指标的通知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581" w:lineRule="exact"/>
        <w:ind w:left="1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20"/>
          <w:sz w:val="31"/>
          <w:szCs w:val="31"/>
        </w:rPr>
        <w:t>西宁市湟中区乡村振兴局、中共西宁市湟中区委</w:t>
      </w:r>
      <w:r>
        <w:rPr>
          <w:rFonts w:hint="eastAsia" w:ascii="宋体" w:hAnsi="宋体" w:eastAsia="宋体" w:cs="宋体"/>
          <w:spacing w:val="6"/>
          <w:position w:val="20"/>
          <w:sz w:val="31"/>
          <w:szCs w:val="31"/>
          <w:lang w:eastAsia="zh-CN"/>
        </w:rPr>
        <w:t>统一战线</w:t>
      </w:r>
      <w:r>
        <w:rPr>
          <w:rFonts w:ascii="宋体" w:hAnsi="宋体" w:eastAsia="宋体" w:cs="宋体"/>
          <w:spacing w:val="6"/>
          <w:position w:val="20"/>
          <w:sz w:val="31"/>
          <w:szCs w:val="31"/>
        </w:rPr>
        <w:t>工</w:t>
      </w:r>
    </w:p>
    <w:p>
      <w:pPr>
        <w:spacing w:line="219" w:lineRule="auto"/>
        <w:ind w:left="1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作部：</w:t>
      </w:r>
    </w:p>
    <w:p>
      <w:pPr>
        <w:spacing w:before="251" w:line="357" w:lineRule="auto"/>
        <w:ind w:left="130" w:right="344" w:firstLine="64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根据《青海省财政厅关于下达2022年中央第二批财政衔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接推进乡村振兴补助资金的通知》</w:t>
      </w:r>
      <w:r>
        <w:rPr>
          <w:rFonts w:ascii="宋体" w:hAnsi="宋体" w:eastAsia="宋体" w:cs="宋体"/>
          <w:spacing w:val="14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(青财农字〔2022〕476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号),现下达2022年中央第二批财政衔接推进乡村振兴补助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资金预算指标1010万元，其中巩固拓展脱贫攻坚成</w:t>
      </w:r>
      <w:r>
        <w:rPr>
          <w:rFonts w:ascii="宋体" w:hAnsi="宋体" w:eastAsia="宋体" w:cs="宋体"/>
          <w:spacing w:val="5"/>
          <w:sz w:val="31"/>
          <w:szCs w:val="31"/>
        </w:rPr>
        <w:t>果同乡村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振兴资金825万元(含项目管理费130万元),</w:t>
      </w:r>
      <w:r>
        <w:rPr>
          <w:rFonts w:ascii="宋体" w:hAnsi="宋体" w:eastAsia="宋体" w:cs="宋体"/>
          <w:spacing w:val="21"/>
          <w:sz w:val="31"/>
          <w:szCs w:val="31"/>
        </w:rPr>
        <w:t>少数民族发展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资金185万元。款列2022年支出功能分类科</w:t>
      </w:r>
      <w:r>
        <w:rPr>
          <w:rFonts w:ascii="宋体" w:hAnsi="宋体" w:eastAsia="宋体" w:cs="宋体"/>
          <w:spacing w:val="9"/>
          <w:sz w:val="31"/>
          <w:szCs w:val="31"/>
        </w:rPr>
        <w:t>目：2130505,生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产发展；政府支出经济分类科目：59999,其他支出；部门</w:t>
      </w:r>
    </w:p>
    <w:p>
      <w:pPr>
        <w:spacing w:before="1" w:line="216" w:lineRule="auto"/>
        <w:ind w:left="1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支出经济分类科目：39999,其他支出。</w:t>
      </w:r>
    </w:p>
    <w:p>
      <w:pPr>
        <w:spacing w:before="260" w:line="600" w:lineRule="exact"/>
        <w:ind w:left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position w:val="21"/>
          <w:sz w:val="31"/>
          <w:szCs w:val="31"/>
        </w:rPr>
        <w:t>一、请立足巩固拓展脱贫攻坚成果同乡村振兴有效衔</w:t>
      </w:r>
    </w:p>
    <w:p>
      <w:pPr>
        <w:spacing w:before="1" w:line="218" w:lineRule="auto"/>
        <w:ind w:left="1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接目标任务，按照《青海省财政衔接推进乡村振兴补助资金</w:t>
      </w:r>
    </w:p>
    <w:p>
      <w:pPr>
        <w:sectPr>
          <w:headerReference r:id="rId5" w:type="default"/>
          <w:footerReference r:id="rId6" w:type="default"/>
          <w:pgSz w:w="11900" w:h="16820"/>
          <w:pgMar w:top="400" w:right="1529" w:bottom="400" w:left="1609" w:header="0" w:footer="0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357" w:lineRule="auto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管理办法》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(青财农字〔2021〕821号)、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《关于转发&lt;财政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0"/>
          <w:sz w:val="31"/>
          <w:szCs w:val="31"/>
        </w:rPr>
        <w:t>部农业农村部国家乡村振兴局国家发展改革委</w:t>
      </w:r>
      <w:r>
        <w:rPr>
          <w:rFonts w:ascii="宋体" w:hAnsi="宋体" w:eastAsia="宋体" w:cs="宋体"/>
          <w:spacing w:val="49"/>
          <w:sz w:val="31"/>
          <w:szCs w:val="31"/>
        </w:rPr>
        <w:t>国家民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9"/>
          <w:sz w:val="31"/>
          <w:szCs w:val="31"/>
        </w:rPr>
        <w:t>委国家林草局关于加强中央财政衔接推进乡村振兴补助资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1"/>
          <w:sz w:val="31"/>
          <w:szCs w:val="31"/>
        </w:rPr>
        <w:t>金管理使用的指导意见&gt;的通知》(青财农字〔2022)428号〕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要求，规范、合理安排使用资金，全面摸排巩固衔接突出短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1"/>
          <w:sz w:val="31"/>
          <w:szCs w:val="31"/>
        </w:rPr>
        <w:t>板，建立工作台账，并按《水利部办公厅财政部办公厅国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1"/>
          <w:sz w:val="31"/>
          <w:szCs w:val="31"/>
        </w:rPr>
        <w:t>家乡村振兴局综合司关于支持巩固拓展农村供水脱贫攻坚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3"/>
          <w:sz w:val="31"/>
          <w:szCs w:val="31"/>
        </w:rPr>
        <w:t>成果的通知》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3"/>
          <w:sz w:val="31"/>
          <w:szCs w:val="31"/>
        </w:rPr>
        <w:t>(办农水〔2022〕110号)精神，优先安排农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村供水保障项目，确保农牧民饮水安全；优先支持联农带农</w:t>
      </w:r>
    </w:p>
    <w:p>
      <w:pPr>
        <w:spacing w:before="234" w:line="219" w:lineRule="auto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179070</wp:posOffset>
            </wp:positionV>
            <wp:extent cx="1555750" cy="11366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5808" cy="113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7"/>
          <w:sz w:val="31"/>
          <w:szCs w:val="31"/>
        </w:rPr>
        <w:t>富农产业发展，确保中央衔接资金用于产业发展的比例</w:t>
      </w:r>
      <w:r>
        <w:rPr>
          <w:rFonts w:ascii="宋体" w:hAnsi="宋体" w:eastAsia="宋体" w:cs="宋体"/>
          <w:spacing w:val="6"/>
          <w:sz w:val="31"/>
          <w:szCs w:val="31"/>
        </w:rPr>
        <w:t>不低</w:t>
      </w:r>
    </w:p>
    <w:p>
      <w:pPr>
        <w:spacing w:before="227" w:line="216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</w:rPr>
        <w:t>于中央资金到我区规模的55%,且不低于2021</w:t>
      </w:r>
      <w:r>
        <w:rPr>
          <w:rFonts w:ascii="宋体" w:hAnsi="宋体" w:eastAsia="宋体" w:cs="宋体"/>
          <w:spacing w:val="18"/>
          <w:sz w:val="31"/>
          <w:szCs w:val="31"/>
        </w:rPr>
        <w:t>年资金占比要</w:t>
      </w:r>
    </w:p>
    <w:p>
      <w:pPr>
        <w:spacing w:before="243" w:line="221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求。</w:t>
      </w:r>
    </w:p>
    <w:p>
      <w:pPr>
        <w:spacing w:before="277" w:line="357" w:lineRule="auto"/>
        <w:ind w:right="114" w:firstLine="6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二、2022年起，中央衔接资金纳入直达资金管理.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(包括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提前下达部分),请严格按照《财政部关于做好2022年财政 </w:t>
      </w:r>
      <w:r>
        <w:rPr>
          <w:rFonts w:ascii="宋体" w:hAnsi="宋体" w:eastAsia="宋体" w:cs="宋体"/>
          <w:spacing w:val="8"/>
          <w:sz w:val="31"/>
          <w:szCs w:val="31"/>
        </w:rPr>
        <w:t>资金直达工作的通知》</w:t>
      </w:r>
      <w:r>
        <w:rPr>
          <w:rFonts w:ascii="宋体" w:hAnsi="宋体" w:eastAsia="宋体" w:cs="宋体"/>
          <w:spacing w:val="15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(财办〔2022)12号〕要求做好相关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工作，并在直达资金系统中及时处理和录入相关指标信息，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并确保数据真实、账目清晰、流向明确。直达资金的管理纳</w:t>
      </w:r>
    </w:p>
    <w:p>
      <w:pPr>
        <w:spacing w:before="1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入2022年财政衔接推进乡村振兴补助资金绩效评价及考核。</w:t>
      </w:r>
    </w:p>
    <w:p>
      <w:pPr>
        <w:spacing w:before="238" w:line="357" w:lineRule="auto"/>
        <w:ind w:right="121" w:firstLine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三、</w:t>
      </w:r>
      <w:r>
        <w:rPr>
          <w:rFonts w:ascii="宋体" w:hAnsi="宋体" w:eastAsia="宋体" w:cs="宋体"/>
          <w:spacing w:val="-7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请按照《关于继续支持脱贫县统筹整合使用财政涉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农资金工作的通知》</w:t>
      </w:r>
      <w:r>
        <w:rPr>
          <w:rFonts w:ascii="宋体" w:hAnsi="宋体" w:eastAsia="宋体" w:cs="宋体"/>
          <w:spacing w:val="15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(财农〔2021)22号〕、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《关于继续支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持脱贫县统筹整合使用财政涉农资金工作的通知》</w:t>
      </w:r>
      <w:r>
        <w:rPr>
          <w:rFonts w:ascii="宋体" w:hAnsi="宋体" w:eastAsia="宋体" w:cs="宋体"/>
          <w:spacing w:val="13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(青财农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字〔2021〕1790号)有关规定执行。</w:t>
      </w:r>
    </w:p>
    <w:p>
      <w:pPr>
        <w:sectPr>
          <w:pgSz w:w="11900" w:h="16820"/>
          <w:pgMar w:top="400" w:right="1774" w:bottom="400" w:left="1710" w:header="0" w:footer="0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81.45pt;margin-top:735.45pt;height:1.05pt;width:425.0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1" w:line="358" w:lineRule="auto"/>
        <w:ind w:left="120" w:right="143" w:firstLine="6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四、</w:t>
      </w:r>
      <w:r>
        <w:rPr>
          <w:rFonts w:ascii="宋体" w:hAnsi="宋体" w:eastAsia="宋体" w:cs="宋体"/>
          <w:spacing w:val="-8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严格落实国库集中支付制度和财政资金直达机制</w:t>
      </w:r>
      <w:r>
        <w:rPr>
          <w:rFonts w:ascii="宋体" w:hAnsi="宋体" w:eastAsia="宋体" w:cs="宋体"/>
          <w:spacing w:val="-1"/>
          <w:sz w:val="31"/>
          <w:szCs w:val="31"/>
        </w:rPr>
        <w:t>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9"/>
          <w:sz w:val="31"/>
          <w:szCs w:val="31"/>
        </w:rPr>
        <w:t>不得将财政资金违规拨入财政专户或预算单位实有资金账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户，严格按照项目进度或合同约定提出支付申请，不得违规</w:t>
      </w:r>
    </w:p>
    <w:p>
      <w:pPr>
        <w:spacing w:line="219" w:lineRule="auto"/>
        <w:ind w:left="12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提前或拖延付款。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19" w:lineRule="auto"/>
        <w:ind w:left="4470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-635000</wp:posOffset>
            </wp:positionV>
            <wp:extent cx="1479550" cy="14986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9562" cy="1498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31"/>
          <w:szCs w:val="31"/>
        </w:rPr>
        <w:t>西宁市湟中区财政局</w:t>
      </w:r>
    </w:p>
    <w:p>
      <w:pPr>
        <w:spacing w:before="192" w:line="219" w:lineRule="auto"/>
        <w:ind w:left="47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2022年5月19日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tabs>
          <w:tab w:val="left" w:pos="177"/>
        </w:tabs>
        <w:spacing w:before="88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  <w:u w:val="single" w:color="auto"/>
        </w:rPr>
        <w:tab/>
      </w:r>
      <w:r>
        <w:rPr>
          <w:rFonts w:ascii="宋体" w:hAnsi="宋体" w:eastAsia="宋体" w:cs="宋体"/>
          <w:spacing w:val="23"/>
          <w:sz w:val="27"/>
          <w:szCs w:val="27"/>
          <w:u w:val="single" w:color="auto"/>
        </w:rPr>
        <w:t>抄送：预算管理办公室、行政事业单位财务办公室、存档。</w:t>
      </w:r>
      <w:r>
        <w:rPr>
          <w:rFonts w:ascii="宋体" w:hAnsi="宋体" w:eastAsia="宋体" w:cs="宋体"/>
          <w:spacing w:val="2"/>
          <w:sz w:val="27"/>
          <w:szCs w:val="27"/>
          <w:u w:val="single" w:color="auto"/>
        </w:rPr>
        <w:t xml:space="preserve">      </w:t>
      </w:r>
    </w:p>
    <w:p>
      <w:pPr>
        <w:sectPr>
          <w:pgSz w:w="11900" w:h="16820"/>
          <w:pgMar w:top="400" w:right="1770" w:bottom="400" w:left="1629" w:header="0" w:footer="0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370" w:lineRule="exact"/>
        <w:ind w:firstLine="1345"/>
        <w:textAlignment w:val="center"/>
      </w:pPr>
      <w:r>
        <w:drawing>
          <wp:inline distT="0" distB="0" distL="0" distR="0">
            <wp:extent cx="1485265" cy="150495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834" cy="150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20"/>
      <w:pgMar w:top="40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VkNGNkNjZlN2JlODhlYmU0ODIzMzE1MGQwZTYwZTkifQ=="/>
    <w:docVar w:name="KSO_WPS_MARK_KEY" w:val="46db4f82-acd9-4305-b476-559972c5cb99"/>
  </w:docVars>
  <w:rsids>
    <w:rsidRoot w:val="00000000"/>
    <w:rsid w:val="399117A9"/>
    <w:rsid w:val="490E5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939</Words>
  <Characters>1044</Characters>
  <TotalTime>0</TotalTime>
  <ScaleCrop>false</ScaleCrop>
  <LinksUpToDate>false</LinksUpToDate>
  <CharactersWithSpaces>1093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2022-12-17T19:29:00Z</dcterms:created>
  <dc:creator>Kingsoft-PDF</dc:creator>
  <cp:lastModifiedBy>宋雨修</cp:lastModifiedBy>
  <dcterms:modified xsi:type="dcterms:W3CDTF">2024-11-14T08:05:12Z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2022-12-17T19:29:17Z</vt:filetime>
  </property>
  <property fmtid="{D5CDD505-2E9C-101B-9397-08002B2CF9AE}" pid="4" name="UsrData">
    <vt:lpwstr>639da7ffe8170700154aa0e7</vt:lpwstr>
  </property>
  <property fmtid="{D5CDD505-2E9C-101B-9397-08002B2CF9AE}" pid="5" name="KSOProductBuildVer">
    <vt:lpwstr>2052-11.1.0.14309</vt:lpwstr>
  </property>
  <property fmtid="{D5CDD505-2E9C-101B-9397-08002B2CF9AE}" pid="6" name="ICV">
    <vt:lpwstr>1BAD62806C3A41978446E98364ABDC0A</vt:lpwstr>
  </property>
</Properties>
</file>