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w15="http://schemas.microsoft.com/office/word/2012/wordml" mc:Ignorable="w14 w15 wp14">
  <!-- Generated by Spire.Doc -->
  <w:body>
    <w:p>
      <w:pPr/>
      <w:r>
        <w:rPr>
          <w:color w:val="FF0000"/>
          <w:sz w:val="24"/>
        </w:rPr>
        <w:t xml:space="preserve">Evaluation Warning: The document was created with Spire.Doc for .NET.</w:t>
      </w:r>
    </w:p>
    <w:p>
      <w:pPr>
        <w:pStyle w:val="BodyTextFirstIndent"/>
        <w:ind w:left="0" w:firstLine="0" w:leftChars="0" w:firstLineChars="0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ascii="方正小标宋简体" w:eastAsia="方正小标宋简体" w:hAnsi="方正小标宋简体" w:cs="方正小标宋简体" w:hint="eastAsia"/>
          <w:sz w:val="44"/>
          <w:szCs w:val="44"/>
          <w:lang w:val="en-US" w:eastAsia="zh-CN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  <w:lang w:val="en-US" w:eastAsia="zh-CN"/>
        </w:rPr>
        <w:t xml:space="preserve">湟中区人民政府2021年度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ascii="方正小标宋简体" w:eastAsia="方正小标宋简体" w:hAnsi="方正小标宋简体" w:cs="方正小标宋简体" w:hint="eastAsia"/>
          <w:sz w:val="44"/>
          <w:szCs w:val="44"/>
          <w:lang w:val="en-US" w:eastAsia="zh-CN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  <w:lang w:val="en-US" w:eastAsia="zh-CN"/>
        </w:rPr>
        <w:t xml:space="preserve">政府信息公开工作年度报告</w:t>
      </w:r>
    </w:p>
    <w:p>
      <w:pPr>
        <w:widowControl/>
        <w:spacing w:line="432" w:lineRule="atLeast"/>
        <w:jc w:val="center"/>
        <w:rPr>
          <w:rFonts w:ascii="方正小标宋简体" w:eastAsia="方正小标宋简体" w:hAnsi="方正小标宋简体" w:cs="方正小标宋简体" w:hint="default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/>
        <w:textAlignment w:val="auto"/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</w:pPr>
      <w:r>
        <w:rPr>
          <w:rFonts w:ascii="黑体" w:eastAsia="黑体" w:hAnsi="黑体" w:cs="黑体" w:hint="eastAsia"/>
          <w:b w:val="0"/>
          <w:bCs w:val="0"/>
          <w:color w:val="333333"/>
          <w:kern w:val="0"/>
          <w:sz w:val="32"/>
          <w:szCs w:val="32"/>
        </w:rPr>
        <w:t xml:space="preserve">一、总体情况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/>
        <w:textAlignment w:val="auto"/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  <w:t xml:space="preserve">2021年度，湟中区人民政府坚持以习近平新时代中国特色社会主义思想为指导，按照党中央、国务院“公开为常态、不公开为例外”的原则，根据《中华人民共和国政府信息公开条例》（以下简称条例）要求，认真落实上级有关全面推进政务公开工作的系列部署，紧紧围绕区委、区政府中心工作和人民群众关注关切，统筹推进政府信息公开工作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/>
        <w:textAlignment w:val="auto"/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  <w:t xml:space="preserve">编制要点专栏，督促各部门在专栏上公开要点信息。深化决策信息和权责清单公开。坚持权责法定，督促全区各部门要根据法律法规立、改、废和简政放权情况，动态调整并及时公布本部门权责清单。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  <w:t xml:space="preserve">深化优化营商环境政策措施公开。推进主动公开优化营商环境政策文件、服务举措、办理流程等信息；深入公开“一件事一次办”服务举措；及时公开市场监管、行政执法、招标投标和政府采购等信息。深化重点领域信息公开。加大财政预决算、乡村振兴、污染防治、公共卫生、重点民生等领域信息的公开力度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/>
        <w:textAlignment w:val="auto"/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  <w:t xml:space="preserve">进一步规范了依申请公开办理工作流程，完善受理、审查、处理、答复以及保存备查等各个环节流程，做到办理规范、有迹可查。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  <w:t xml:space="preserve">扩大政民互动，推进公众参与。通过“区长信箱”、“书记信箱”互动交流栏目，围绕政府重点工作和公众关注热点，拓展政府互动交流覆盖面，接受公众建言献策和情况反映、征集公众意见建议，实现政府与公众的良性互动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  <w:t xml:space="preserve">坚持公开与保密相结合的原则。做到不因强调公开而造成泄密，也不因强调保密而不敢公开。全区工作动态与重大会议信息由相关单位提供后，经政务公开经办人员进行初审，送办公室主任审核，通过层层把关，既实现了信息及时公开，又满足了信息保密需要。</w:t>
      </w:r>
    </w:p>
    <w:p>
      <w:pPr>
        <w:widowControl/>
        <w:spacing w:after="240" w:line="432" w:lineRule="atLeast"/>
        <w:ind w:firstLine="480"/>
        <w:rPr>
          <w:rFonts w:ascii="黑体" w:eastAsia="黑体" w:hAnsi="黑体" w:cs="黑体" w:hint="eastAsia"/>
          <w:b w:val="0"/>
          <w:bCs w:val="0"/>
          <w:color w:val="333333"/>
          <w:kern w:val="0"/>
          <w:sz w:val="28"/>
          <w:szCs w:val="28"/>
        </w:rPr>
      </w:pPr>
      <w:r>
        <w:rPr>
          <w:rFonts w:ascii="黑体" w:eastAsia="黑体" w:hAnsi="黑体" w:cs="黑体" w:hint="eastAsia"/>
          <w:b w:val="0"/>
          <w:bCs w:val="0"/>
          <w:color w:val="333333"/>
          <w:kern w:val="0"/>
          <w:sz w:val="32"/>
          <w:szCs w:val="32"/>
        </w:rPr>
        <w:t xml:space="preserve">二、主动公开政府信息情况</w:t>
      </w:r>
    </w:p>
    <w:tbl>
      <w:tblPr>
        <w:tblStyle w:val="TableNormal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600" w:firstRow="0" w:lastRow="0" w:firstColumn="0" w:lastColumn="0" w:noHBand="1" w:noVBand="1"/>
      </w:tblPr>
      <w:tblGrid>
        <w:gridCol w:w="3041"/>
        <w:gridCol w:w="1845"/>
        <w:gridCol w:w="1666"/>
        <w:gridCol w:w="1679"/>
      </w:tblGrid>
      <w:tr>
        <w:tblPrEx>
          <w:tblW w:w="0" w:type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/>
          <w:jc w:val="center"/>
        </w:trPr>
        <w:tc>
          <w:tcPr>
            <w:tcW w:w="823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 xml:space="preserve">第二十条第（一）项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/>
          <w:jc w:val="center"/>
        </w:trPr>
        <w:tc>
          <w:tcPr>
            <w:tcW w:w="30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 xml:space="preserve">信息内容</w:t>
            </w:r>
          </w:p>
        </w:tc>
        <w:tc>
          <w:tcPr>
            <w:tcW w:w="18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 xml:space="preserve">本年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制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eastAsia="zh-CN"/>
              </w:rPr>
              <w:t xml:space="preserve">发件数</w:t>
            </w:r>
          </w:p>
        </w:tc>
        <w:tc>
          <w:tcPr>
            <w:tcW w:w="16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 xml:space="preserve">本年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eastAsia="zh-CN"/>
              </w:rPr>
              <w:t xml:space="preserve">废止件数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eastAsia="zh-CN"/>
              </w:rPr>
              <w:t xml:space="preserve">现行有效件数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/>
          <w:jc w:val="center"/>
        </w:trPr>
        <w:tc>
          <w:tcPr>
            <w:tcW w:w="30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 xml:space="preserve">规章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default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default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/>
          <w:jc w:val="center"/>
        </w:trPr>
        <w:tc>
          <w:tcPr>
            <w:tcW w:w="30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eastAsia="zh-CN"/>
              </w:rPr>
              <w:t xml:space="preserve">行政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 xml:space="preserve">规范性文件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default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default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4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default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10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/>
          <w:jc w:val="center"/>
        </w:trPr>
        <w:tc>
          <w:tcPr>
            <w:tcW w:w="8231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 xml:space="preserve">第二十条第（五）项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/>
          <w:jc w:val="center"/>
        </w:trPr>
        <w:tc>
          <w:tcPr>
            <w:tcW w:w="30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 xml:space="preserve">信息内容</w:t>
            </w:r>
          </w:p>
        </w:tc>
        <w:tc>
          <w:tcPr>
            <w:tcW w:w="519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eastAsia="zh-CN"/>
              </w:rPr>
              <w:t xml:space="preserve">本年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 xml:space="preserve">处理决定数量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/>
          <w:jc w:val="center"/>
        </w:trPr>
        <w:tc>
          <w:tcPr>
            <w:tcW w:w="30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 xml:space="preserve">行政许可</w:t>
            </w:r>
          </w:p>
        </w:tc>
        <w:tc>
          <w:tcPr>
            <w:tcW w:w="519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default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316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/>
          <w:jc w:val="center"/>
        </w:trPr>
        <w:tc>
          <w:tcPr>
            <w:tcW w:w="8231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 xml:space="preserve">第二十条第（六）项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/>
          <w:jc w:val="center"/>
        </w:trPr>
        <w:tc>
          <w:tcPr>
            <w:tcW w:w="30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 xml:space="preserve">信息内容</w:t>
            </w:r>
          </w:p>
        </w:tc>
        <w:tc>
          <w:tcPr>
            <w:tcW w:w="519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eastAsia="zh-CN"/>
              </w:rPr>
              <w:t xml:space="preserve">本年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 xml:space="preserve">处理决定数量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/>
          <w:jc w:val="center"/>
        </w:trPr>
        <w:tc>
          <w:tcPr>
            <w:tcW w:w="30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 xml:space="preserve">行政处罚</w:t>
            </w:r>
          </w:p>
        </w:tc>
        <w:tc>
          <w:tcPr>
            <w:tcW w:w="519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default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19681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/>
          <w:jc w:val="center"/>
        </w:trPr>
        <w:tc>
          <w:tcPr>
            <w:tcW w:w="30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 xml:space="preserve">行政强制</w:t>
            </w:r>
          </w:p>
        </w:tc>
        <w:tc>
          <w:tcPr>
            <w:tcW w:w="519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default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660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/>
          <w:jc w:val="center"/>
        </w:trPr>
        <w:tc>
          <w:tcPr>
            <w:tcW w:w="8231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 xml:space="preserve">第二十条第（八）项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/>
          <w:jc w:val="center"/>
        </w:trPr>
        <w:tc>
          <w:tcPr>
            <w:tcW w:w="30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 xml:space="preserve">信息内容</w:t>
            </w:r>
          </w:p>
        </w:tc>
        <w:tc>
          <w:tcPr>
            <w:tcW w:w="519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eastAsia="zh-CN"/>
              </w:rPr>
              <w:t xml:space="preserve">本年收费金额（单位：万元）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/>
          <w:jc w:val="center"/>
        </w:trPr>
        <w:tc>
          <w:tcPr>
            <w:tcW w:w="30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 xml:space="preserve">行政事业性收费</w:t>
            </w:r>
          </w:p>
        </w:tc>
        <w:tc>
          <w:tcPr>
            <w:tcW w:w="519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default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2601.56</w:t>
            </w:r>
          </w:p>
        </w:tc>
      </w:tr>
    </w:tbl>
    <w:p>
      <w:pPr>
        <w:widowControl/>
        <w:spacing w:after="240" w:line="432" w:lineRule="atLeast"/>
        <w:rPr>
          <w:rFonts w:ascii="仿宋_GB2312" w:eastAsia="仿宋_GB2312" w:hAnsi="仿宋_GB2312" w:cs="仿宋_GB2312" w:hint="eastAsia"/>
          <w:b/>
          <w:bCs/>
          <w:color w:val="333333"/>
          <w:kern w:val="0"/>
          <w:sz w:val="24"/>
          <w:szCs w:val="24"/>
        </w:rPr>
      </w:pPr>
    </w:p>
    <w:p>
      <w:pPr>
        <w:widowControl/>
        <w:spacing w:after="240" w:line="432" w:lineRule="atLeast"/>
        <w:ind w:firstLine="640" w:firstLineChars="200"/>
        <w:rPr>
          <w:rFonts w:ascii="黑体" w:eastAsia="黑体" w:hAnsi="黑体" w:cs="黑体" w:hint="eastAsia"/>
          <w:b w:val="0"/>
          <w:bCs w:val="0"/>
          <w:color w:val="333333"/>
          <w:kern w:val="0"/>
          <w:sz w:val="32"/>
          <w:szCs w:val="32"/>
        </w:rPr>
      </w:pPr>
      <w:r>
        <w:rPr>
          <w:rFonts w:ascii="黑体" w:eastAsia="黑体" w:hAnsi="黑体" w:cs="黑体" w:hint="eastAsia"/>
          <w:b w:val="0"/>
          <w:bCs w:val="0"/>
          <w:color w:val="333333"/>
          <w:kern w:val="0"/>
          <w:sz w:val="32"/>
          <w:szCs w:val="32"/>
        </w:rPr>
        <w:t xml:space="preserve">三、收到和处理政府信息公开申请情况</w:t>
      </w:r>
    </w:p>
    <w:tbl>
      <w:tblPr>
        <w:tblStyle w:val="TableNormal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600" w:firstRow="0" w:lastRow="0" w:firstColumn="0" w:lastColumn="0" w:noHBand="1" w:noVBand="1"/>
      </w:tblPr>
      <w:tblGrid>
        <w:gridCol w:w="616"/>
        <w:gridCol w:w="816"/>
        <w:gridCol w:w="1904"/>
        <w:gridCol w:w="636"/>
        <w:gridCol w:w="667"/>
        <w:gridCol w:w="667"/>
        <w:gridCol w:w="717"/>
        <w:gridCol w:w="855"/>
        <w:gridCol w:w="629"/>
        <w:gridCol w:w="616"/>
      </w:tblGrid>
      <w:tr>
        <w:tblPrEx>
          <w:tblW w:w="0" w:type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/>
          <w:jc w:val="center"/>
        </w:trPr>
        <w:tc>
          <w:tcPr>
            <w:tcW w:w="3336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（本列数据的勾稽关系为：第一项加第二项之和，等于第三项加第四项之和）</w:t>
            </w:r>
          </w:p>
        </w:tc>
        <w:tc>
          <w:tcPr>
            <w:tcW w:w="4787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申请人情况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/>
          <w:jc w:val="center"/>
        </w:trPr>
        <w:tc>
          <w:tcPr>
            <w:tcW w:w="333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63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自然人</w:t>
            </w:r>
          </w:p>
        </w:tc>
        <w:tc>
          <w:tcPr>
            <w:tcW w:w="3535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法人或其他组织</w:t>
            </w:r>
          </w:p>
        </w:tc>
        <w:tc>
          <w:tcPr>
            <w:tcW w:w="61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总计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/>
          <w:jc w:val="center"/>
        </w:trPr>
        <w:tc>
          <w:tcPr>
            <w:tcW w:w="333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63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商业企业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科研机构</w:t>
            </w:r>
          </w:p>
        </w:tc>
        <w:tc>
          <w:tcPr>
            <w:tcW w:w="7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社会公益组织</w:t>
            </w:r>
          </w:p>
        </w:tc>
        <w:tc>
          <w:tcPr>
            <w:tcW w:w="8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法律服务机构</w:t>
            </w:r>
          </w:p>
        </w:tc>
        <w:tc>
          <w:tcPr>
            <w:tcW w:w="6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其他</w:t>
            </w:r>
          </w:p>
        </w:tc>
        <w:tc>
          <w:tcPr>
            <w:tcW w:w="616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/>
          <w:jc w:val="center"/>
        </w:trPr>
        <w:tc>
          <w:tcPr>
            <w:tcW w:w="333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一、本年新收政府信息公开申请数量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default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default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6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/>
          <w:jc w:val="center"/>
        </w:trPr>
        <w:tc>
          <w:tcPr>
            <w:tcW w:w="333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二、上年结转政府信息公开申请数量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/>
          <w:jc w:val="center"/>
        </w:trPr>
        <w:tc>
          <w:tcPr>
            <w:tcW w:w="6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三、本年度办理结果</w:t>
            </w:r>
          </w:p>
        </w:tc>
        <w:tc>
          <w:tcPr>
            <w:tcW w:w="2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（一）予以公开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default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4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default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5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"/>
          <w:jc w:val="center"/>
        </w:trPr>
        <w:tc>
          <w:tcPr>
            <w:tcW w:w="6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2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（二）部分公开（区分处理的，只计这一情形，不计其他情形）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1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/>
          <w:jc w:val="center"/>
        </w:trPr>
        <w:tc>
          <w:tcPr>
            <w:tcW w:w="6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81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（三）不予公开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1.属于国家秘密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/>
          <w:jc w:val="center"/>
        </w:trPr>
        <w:tc>
          <w:tcPr>
            <w:tcW w:w="6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81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2.其他法律行政法规禁止公开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"/>
          <w:jc w:val="center"/>
        </w:trPr>
        <w:tc>
          <w:tcPr>
            <w:tcW w:w="6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81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3.危及“三安全一稳定”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"/>
          <w:jc w:val="center"/>
        </w:trPr>
        <w:tc>
          <w:tcPr>
            <w:tcW w:w="6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81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4.保护第三方合法权益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"/>
          <w:jc w:val="center"/>
        </w:trPr>
        <w:tc>
          <w:tcPr>
            <w:tcW w:w="6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81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5.属于三类内部事务信息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"/>
          <w:jc w:val="center"/>
        </w:trPr>
        <w:tc>
          <w:tcPr>
            <w:tcW w:w="6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81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6.属于四类过程性信息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"/>
          <w:jc w:val="center"/>
        </w:trPr>
        <w:tc>
          <w:tcPr>
            <w:tcW w:w="6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81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7.属于行政执法案卷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"/>
          <w:jc w:val="center"/>
        </w:trPr>
        <w:tc>
          <w:tcPr>
            <w:tcW w:w="6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81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8.属于行政查询事项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"/>
          <w:jc w:val="center"/>
        </w:trPr>
        <w:tc>
          <w:tcPr>
            <w:tcW w:w="6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81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（四）无法提供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1.本机关不掌握相关政府信息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"/>
          <w:jc w:val="center"/>
        </w:trPr>
        <w:tc>
          <w:tcPr>
            <w:tcW w:w="6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81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2.没有现成信息需要另行制作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"/>
          <w:jc w:val="center"/>
        </w:trPr>
        <w:tc>
          <w:tcPr>
            <w:tcW w:w="6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81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3.补正后申请内容仍不明确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"/>
          <w:jc w:val="center"/>
        </w:trPr>
        <w:tc>
          <w:tcPr>
            <w:tcW w:w="6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81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（五）不予处理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1.信访举报投诉类申请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/>
          <w:jc w:val="center"/>
        </w:trPr>
        <w:tc>
          <w:tcPr>
            <w:tcW w:w="6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81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2.重复申请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"/>
          <w:jc w:val="center"/>
        </w:trPr>
        <w:tc>
          <w:tcPr>
            <w:tcW w:w="6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81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3.要求提供公开出版物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"/>
          <w:jc w:val="center"/>
        </w:trPr>
        <w:tc>
          <w:tcPr>
            <w:tcW w:w="6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81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4.无正当理由大量反复申请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"/>
          <w:jc w:val="center"/>
        </w:trPr>
        <w:tc>
          <w:tcPr>
            <w:tcW w:w="6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81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5.要求行政机关确认或重新出具已获取信息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"/>
          <w:jc w:val="center"/>
        </w:trPr>
        <w:tc>
          <w:tcPr>
            <w:tcW w:w="6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（六）其他处理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 w:hAnsi="仿宋_GB2312" w:cs="仿宋_GB2312" w:hint="default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1.申请人无正当理由逾期不补正、行政机关不再处理其政府信息公开申请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7"/>
          <w:jc w:val="center"/>
        </w:trPr>
        <w:tc>
          <w:tcPr>
            <w:tcW w:w="6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 w:hAnsi="仿宋_GB2312" w:cs="仿宋_GB2312" w:hint="default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2.申请人逾期未按收费通知要求缴纳费用，行政机关不再处理其政府信息公开申请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/>
          <w:jc w:val="center"/>
        </w:trPr>
        <w:tc>
          <w:tcPr>
            <w:tcW w:w="6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 w:hAnsi="仿宋_GB2312" w:cs="仿宋_GB2312" w:hint="default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3.其他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/>
          <w:jc w:val="center"/>
        </w:trPr>
        <w:tc>
          <w:tcPr>
            <w:tcW w:w="6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2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（七）总计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default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default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6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/>
          <w:jc w:val="center"/>
        </w:trPr>
        <w:tc>
          <w:tcPr>
            <w:tcW w:w="333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四、结转下年度继续办理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default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</w:tr>
    </w:tbl>
    <w:p>
      <w:pPr>
        <w:widowControl/>
        <w:numPr>
          <w:ilvl w:val="0"/>
          <w:numId w:val="0"/>
        </w:numPr>
        <w:spacing w:line="432" w:lineRule="atLeast"/>
        <w:rPr>
          <w:rFonts w:ascii="黑体" w:eastAsia="黑体" w:hAnsi="黑体" w:cs="黑体" w:hint="eastAsia"/>
          <w:b w:val="0"/>
          <w:bCs w:val="0"/>
          <w:color w:val="333333"/>
          <w:kern w:val="0"/>
          <w:sz w:val="28"/>
          <w:szCs w:val="28"/>
          <w:lang w:eastAsia="zh-CN"/>
        </w:rPr>
      </w:pPr>
    </w:p>
    <w:p>
      <w:pPr>
        <w:widowControl/>
        <w:numPr>
          <w:ilvl w:val="0"/>
          <w:numId w:val="0"/>
        </w:numPr>
        <w:spacing w:line="432" w:lineRule="atLeast"/>
        <w:ind w:firstLine="640" w:firstLineChars="200"/>
        <w:rPr>
          <w:rFonts w:ascii="仿宋_GB2312" w:eastAsia="仿宋_GB2312" w:hAnsi="仿宋_GB2312" w:cs="仿宋_GB2312" w:hint="eastAsia"/>
          <w:b/>
          <w:bCs/>
          <w:color w:val="333333"/>
          <w:kern w:val="0"/>
          <w:sz w:val="32"/>
          <w:szCs w:val="32"/>
          <w:lang w:eastAsia="zh-CN"/>
        </w:rPr>
      </w:pPr>
      <w:r>
        <w:rPr>
          <w:rFonts w:ascii="黑体" w:eastAsia="黑体" w:hAnsi="黑体" w:cs="黑体" w:hint="eastAsia"/>
          <w:b w:val="0"/>
          <w:bCs w:val="0"/>
          <w:color w:val="333333"/>
          <w:kern w:val="0"/>
          <w:sz w:val="32"/>
          <w:szCs w:val="32"/>
          <w:lang w:eastAsia="zh-CN"/>
        </w:rPr>
        <w:t xml:space="preserve">四、</w:t>
      </w:r>
      <w:r>
        <w:rPr>
          <w:rFonts w:ascii="黑体" w:eastAsia="黑体" w:hAnsi="黑体" w:cs="黑体" w:hint="eastAsia"/>
          <w:b w:val="0"/>
          <w:bCs w:val="0"/>
          <w:color w:val="333333"/>
          <w:kern w:val="0"/>
          <w:sz w:val="32"/>
          <w:szCs w:val="32"/>
        </w:rPr>
        <w:t xml:space="preserve">政府信息公开行政复议、行政诉讼情况</w:t>
      </w:r>
    </w:p>
    <w:tbl>
      <w:tblPr>
        <w:tblStyle w:val="TableNormal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600" w:firstRow="0" w:lastRow="0" w:firstColumn="0" w:lastColumn="0" w:noHBand="1" w:noVBand="1"/>
      </w:tblPr>
      <w:tblGrid>
        <w:gridCol w:w="515"/>
        <w:gridCol w:w="515"/>
        <w:gridCol w:w="515"/>
        <w:gridCol w:w="515"/>
        <w:gridCol w:w="564"/>
        <w:gridCol w:w="469"/>
        <w:gridCol w:w="516"/>
        <w:gridCol w:w="516"/>
        <w:gridCol w:w="516"/>
        <w:gridCol w:w="527"/>
        <w:gridCol w:w="508"/>
        <w:gridCol w:w="516"/>
        <w:gridCol w:w="516"/>
        <w:gridCol w:w="517"/>
        <w:gridCol w:w="518"/>
      </w:tblGrid>
      <w:tr>
        <w:tblPrEx>
          <w:tblW w:w="0" w:type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/>
          <w:jc w:val="center"/>
        </w:trPr>
        <w:tc>
          <w:tcPr>
            <w:tcW w:w="262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行政复议</w:t>
            </w:r>
          </w:p>
        </w:tc>
        <w:tc>
          <w:tcPr>
            <w:tcW w:w="5119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行政诉讼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  <w:jc w:val="center"/>
        </w:trPr>
        <w:tc>
          <w:tcPr>
            <w:tcW w:w="5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结果维持</w:t>
            </w:r>
          </w:p>
        </w:tc>
        <w:tc>
          <w:tcPr>
            <w:tcW w:w="51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结果纠正</w:t>
            </w:r>
          </w:p>
        </w:tc>
        <w:tc>
          <w:tcPr>
            <w:tcW w:w="51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其他结果</w:t>
            </w:r>
          </w:p>
        </w:tc>
        <w:tc>
          <w:tcPr>
            <w:tcW w:w="51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尚未审结</w:t>
            </w:r>
          </w:p>
        </w:tc>
        <w:tc>
          <w:tcPr>
            <w:tcW w:w="56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总计</w:t>
            </w:r>
          </w:p>
        </w:tc>
        <w:tc>
          <w:tcPr>
            <w:tcW w:w="2544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未经复议直接起诉</w:t>
            </w:r>
          </w:p>
        </w:tc>
        <w:tc>
          <w:tcPr>
            <w:tcW w:w="2575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复议后起诉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"/>
          <w:jc w:val="center"/>
        </w:trPr>
        <w:tc>
          <w:tcPr>
            <w:tcW w:w="51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51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515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515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564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结果维持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结果纠正</w:t>
            </w:r>
          </w:p>
        </w:tc>
        <w:tc>
          <w:tcPr>
            <w:tcW w:w="5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其他结果</w:t>
            </w:r>
          </w:p>
        </w:tc>
        <w:tc>
          <w:tcPr>
            <w:tcW w:w="5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尚未审结</w:t>
            </w:r>
          </w:p>
        </w:tc>
        <w:tc>
          <w:tcPr>
            <w:tcW w:w="5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 xml:space="preserve">总计</w:t>
            </w:r>
          </w:p>
        </w:tc>
        <w:tc>
          <w:tcPr>
            <w:tcW w:w="5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结果维持</w:t>
            </w:r>
          </w:p>
        </w:tc>
        <w:tc>
          <w:tcPr>
            <w:tcW w:w="5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结果纠正</w:t>
            </w:r>
          </w:p>
        </w:tc>
        <w:tc>
          <w:tcPr>
            <w:tcW w:w="5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 xml:space="preserve">其他结果</w:t>
            </w:r>
          </w:p>
        </w:tc>
        <w:tc>
          <w:tcPr>
            <w:tcW w:w="5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尚未审结</w:t>
            </w:r>
          </w:p>
        </w:tc>
        <w:tc>
          <w:tcPr>
            <w:tcW w:w="5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 xml:space="preserve">总计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/>
          <w:jc w:val="center"/>
        </w:trPr>
        <w:tc>
          <w:tcPr>
            <w:tcW w:w="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default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default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hAnsi="仿宋_GB2312" w:cs="仿宋_GB2312" w:hint="default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</w:tr>
    </w:tbl>
    <w:p>
      <w:pPr>
        <w:widowControl/>
        <w:numPr>
          <w:ilvl w:val="0"/>
          <w:numId w:val="0"/>
        </w:numPr>
        <w:spacing w:line="432" w:lineRule="atLeast"/>
        <w:rPr>
          <w:rFonts w:ascii="黑体" w:eastAsia="黑体" w:hAnsi="黑体" w:cs="黑体" w:hint="eastAsia"/>
          <w:b w:val="0"/>
          <w:bCs w:val="0"/>
          <w:color w:val="333333"/>
          <w:kern w:val="0"/>
          <w:sz w:val="32"/>
          <w:szCs w:val="32"/>
        </w:rPr>
      </w:pPr>
    </w:p>
    <w:p>
      <w:pPr>
        <w:widowControl/>
        <w:numPr>
          <w:ilvl w:val="0"/>
          <w:numId w:val="0"/>
        </w:numPr>
        <w:spacing w:line="432" w:lineRule="atLeast"/>
        <w:ind w:left="630" w:leftChars="0"/>
        <w:rPr>
          <w:rFonts w:ascii="黑体" w:eastAsia="黑体" w:hAnsi="黑体" w:cs="黑体" w:hint="eastAsia"/>
          <w:b w:val="0"/>
          <w:bCs w:val="0"/>
          <w:color w:val="333333"/>
          <w:kern w:val="0"/>
          <w:sz w:val="32"/>
          <w:szCs w:val="32"/>
        </w:rPr>
      </w:pPr>
    </w:p>
    <w:p>
      <w:pPr>
        <w:widowControl/>
        <w:numPr>
          <w:ilvl w:val="0"/>
          <w:numId w:val="0"/>
        </w:numPr>
        <w:spacing w:line="432" w:lineRule="atLeast"/>
        <w:ind w:left="630" w:leftChars="0"/>
        <w:rPr>
          <w:rFonts w:ascii="黑体" w:eastAsia="黑体" w:hAnsi="黑体" w:cs="黑体" w:hint="eastAsia"/>
          <w:b w:val="0"/>
          <w:bCs w:val="0"/>
          <w:color w:val="333333"/>
          <w:kern w:val="0"/>
          <w:sz w:val="32"/>
          <w:szCs w:val="32"/>
        </w:rPr>
      </w:pPr>
      <w:bookmarkStart w:id="0" w:name="_GoBack"/>
      <w:bookmarkEnd w:id="0"/>
    </w:p>
    <w:p>
      <w:pPr>
        <w:widowControl/>
        <w:numPr>
          <w:ilvl w:val="0"/>
          <w:numId w:val="9"/>
        </w:numPr>
        <w:spacing w:line="432" w:lineRule="atLeast"/>
        <w:ind w:left="150" w:firstLine="480" w:leftChars="0" w:firstLineChars="0"/>
        <w:rPr>
          <w:rFonts w:ascii="黑体" w:eastAsia="黑体" w:hAnsi="黑体" w:cs="黑体" w:hint="eastAsia"/>
          <w:b w:val="0"/>
          <w:bCs w:val="0"/>
          <w:color w:val="333333"/>
          <w:kern w:val="0"/>
          <w:sz w:val="32"/>
          <w:szCs w:val="32"/>
        </w:rPr>
      </w:pPr>
      <w:r>
        <w:rPr>
          <w:rFonts w:ascii="黑体" w:eastAsia="黑体" w:hAnsi="黑体" w:cs="黑体" w:hint="eastAsia"/>
          <w:b w:val="0"/>
          <w:bCs w:val="0"/>
          <w:color w:val="333333"/>
          <w:kern w:val="0"/>
          <w:sz w:val="32"/>
          <w:szCs w:val="32"/>
        </w:rPr>
        <w:t xml:space="preserve">存在的主要问题及改进情况</w:t>
      </w:r>
    </w:p>
    <w:p>
      <w:pPr>
        <w:keepNext w:val="0"/>
        <w:keepLines w:val="0"/>
        <w:pageBreakBefore w:val="0"/>
        <w:widowControl/>
        <w:numPr>
          <w:ilvl w:val="0"/>
          <w:numId w:val="1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32" w:lineRule="atLeast"/>
        <w:ind w:left="-60" w:firstLine="480" w:leftChars="0" w:firstLineChars="0"/>
        <w:textAlignment w:val="auto"/>
        <w:rPr>
          <w:rFonts w:ascii="仿宋_GB2312" w:eastAsia="仿宋_GB2312" w:hAnsi="仿宋_GB2312" w:cs="仿宋_GB2312" w:hint="eastAsia"/>
          <w:b w:val="0"/>
          <w:bCs w:val="0"/>
          <w:color w:val="333333"/>
          <w:kern w:val="0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b w:val="0"/>
          <w:bCs w:val="0"/>
          <w:color w:val="333333"/>
          <w:kern w:val="0"/>
          <w:sz w:val="32"/>
          <w:szCs w:val="32"/>
          <w:lang w:val="en-US" w:eastAsia="zh-CN"/>
        </w:rPr>
        <w:t xml:space="preserve">政府信息公开工作流程传导力度不够。区内部分单位在提交政务公开申请时做不到标准化。针对该问题，我区相关工作人员已梳理归纳出完整的政务公开工作标准流程，并将下发全区各乡镇政府、街道办事处，区政府各部门进行学习。</w:t>
      </w:r>
    </w:p>
    <w:p>
      <w:pPr>
        <w:keepNext w:val="0"/>
        <w:keepLines w:val="0"/>
        <w:pageBreakBefore w:val="0"/>
        <w:widowControl/>
        <w:numPr>
          <w:ilvl w:val="0"/>
          <w:numId w:val="1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32" w:lineRule="atLeast"/>
        <w:ind w:left="-60" w:firstLine="480" w:leftChars="0" w:firstLineChars="0"/>
        <w:textAlignment w:val="auto"/>
        <w:rPr>
          <w:rFonts w:ascii="仿宋_GB2312" w:eastAsia="仿宋_GB2312" w:hAnsi="仿宋_GB2312" w:cs="仿宋_GB2312" w:hint="default"/>
          <w:b w:val="0"/>
          <w:bCs w:val="0"/>
          <w:color w:val="333333"/>
          <w:kern w:val="0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b w:val="0"/>
          <w:bCs w:val="0"/>
          <w:color w:val="333333"/>
          <w:kern w:val="0"/>
          <w:sz w:val="32"/>
          <w:szCs w:val="32"/>
          <w:lang w:val="en-US" w:eastAsia="zh-CN"/>
        </w:rPr>
        <w:t xml:space="preserve">部分工作人员保密意识不够，对此，我区将采取多种方式对相关人员进行宣传教育，并将各类保密学习文件转发至各单位，要求结合实际，认真组织学习，抓好贯彻落实，确保不因公开而泄密。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32" w:lineRule="atLeast"/>
        <w:ind w:firstLine="480"/>
        <w:textAlignment w:val="auto"/>
        <w:rPr>
          <w:rFonts w:ascii="黑体" w:eastAsia="黑体" w:hAnsi="黑体" w:cs="黑体" w:hint="eastAsia"/>
          <w:b w:val="0"/>
          <w:bCs w:val="0"/>
          <w:color w:val="333333"/>
          <w:kern w:val="0"/>
          <w:sz w:val="32"/>
          <w:szCs w:val="32"/>
        </w:rPr>
      </w:pPr>
      <w:r>
        <w:rPr>
          <w:rFonts w:ascii="黑体" w:eastAsia="黑体" w:hAnsi="黑体" w:cs="黑体" w:hint="eastAsia"/>
          <w:b w:val="0"/>
          <w:bCs w:val="0"/>
          <w:color w:val="333333"/>
          <w:kern w:val="0"/>
          <w:sz w:val="32"/>
          <w:szCs w:val="32"/>
        </w:rPr>
        <w:t xml:space="preserve">六、其他需要报告的事项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仿宋_GB2312" w:eastAsia="仿宋_GB2312" w:hAnsi="仿宋_GB2312" w:cs="仿宋_GB2312" w:hint="eastAsia"/>
          <w:b w:val="0"/>
          <w:bCs w:val="0"/>
          <w:color w:val="333333"/>
          <w:kern w:val="0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b w:val="0"/>
          <w:bCs w:val="0"/>
          <w:color w:val="333333"/>
          <w:kern w:val="0"/>
          <w:sz w:val="32"/>
          <w:szCs w:val="32"/>
          <w:lang w:val="en-US" w:eastAsia="zh-CN"/>
        </w:rPr>
        <w:t xml:space="preserve">无。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仿宋_GB2312" w:eastAsia="仿宋_GB2312" w:hAnsi="仿宋_GB2312" w:cs="仿宋_GB2312" w:hint="eastAsia"/>
          <w:b w:val="0"/>
          <w:bCs w:val="0"/>
          <w:color w:val="333333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仿宋_GB2312" w:eastAsia="仿宋_GB2312" w:hAnsi="仿宋_GB2312" w:cs="仿宋_GB2312" w:hint="eastAsia"/>
          <w:b w:val="0"/>
          <w:bCs w:val="0"/>
          <w:color w:val="333333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仿宋_GB2312" w:eastAsia="仿宋_GB2312" w:hAnsi="仿宋_GB2312" w:cs="仿宋_GB2312" w:hint="eastAsia"/>
          <w:b w:val="0"/>
          <w:bCs w:val="0"/>
          <w:color w:val="333333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仿宋_GB2312" w:eastAsia="仿宋_GB2312" w:hAnsi="仿宋_GB2312" w:cs="仿宋_GB2312" w:hint="eastAsia"/>
          <w:b w:val="0"/>
          <w:bCs w:val="0"/>
          <w:color w:val="333333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仿宋_GB2312" w:eastAsia="仿宋_GB2312" w:hAnsi="仿宋_GB2312" w:cs="仿宋_GB2312" w:hint="eastAsia"/>
          <w:b w:val="0"/>
          <w:bCs w:val="0"/>
          <w:color w:val="333333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仿宋_GB2312" w:eastAsia="仿宋_GB2312" w:hAnsi="仿宋_GB2312" w:cs="仿宋_GB2312" w:hint="eastAsia"/>
          <w:b w:val="0"/>
          <w:bCs w:val="0"/>
          <w:color w:val="333333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仿宋_GB2312" w:eastAsia="仿宋_GB2312" w:hAnsi="仿宋_GB2312" w:cs="仿宋_GB2312" w:hint="eastAsia"/>
          <w:b w:val="0"/>
          <w:bCs w:val="0"/>
          <w:color w:val="333333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仿宋_GB2312" w:eastAsia="仿宋_GB2312" w:hAnsi="仿宋_GB2312" w:cs="仿宋_GB2312" w:hint="eastAsia"/>
          <w:b w:val="0"/>
          <w:bCs w:val="0"/>
          <w:color w:val="333333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仿宋_GB2312" w:eastAsia="仿宋_GB2312" w:hAnsi="仿宋_GB2312" w:cs="仿宋_GB2312" w:hint="eastAsia"/>
          <w:b w:val="0"/>
          <w:bCs w:val="0"/>
          <w:color w:val="333333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仿宋_GB2312" w:eastAsia="仿宋_GB2312" w:hAnsi="仿宋_GB2312" w:cs="仿宋_GB2312" w:hint="eastAsia"/>
          <w:b w:val="0"/>
          <w:bCs w:val="0"/>
          <w:color w:val="333333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仿宋_GB2312" w:eastAsia="仿宋_GB2312" w:hAnsi="仿宋_GB2312" w:cs="仿宋_GB2312" w:hint="eastAsia"/>
          <w:b w:val="0"/>
          <w:bCs w:val="0"/>
          <w:color w:val="333333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仿宋_GB2312" w:eastAsia="仿宋_GB2312" w:hAnsi="仿宋_GB2312" w:cs="仿宋_GB2312" w:hint="eastAsia"/>
          <w:b w:val="0"/>
          <w:bCs w:val="0"/>
          <w:color w:val="333333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仿宋_GB2312" w:eastAsia="仿宋_GB2312" w:hAnsi="仿宋_GB2312" w:cs="仿宋_GB2312" w:hint="eastAsia"/>
          <w:b w:val="0"/>
          <w:bCs w:val="0"/>
          <w:color w:val="333333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仿宋_GB2312" w:eastAsia="仿宋_GB2312" w:hAnsi="仿宋_GB2312" w:cs="仿宋_GB2312" w:hint="eastAsia"/>
          <w:b w:val="0"/>
          <w:bCs w:val="0"/>
          <w:color w:val="333333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仿宋_GB2312" w:eastAsia="仿宋_GB2312" w:hAnsi="仿宋_GB2312" w:cs="仿宋_GB2312" w:hint="eastAsia"/>
          <w:b w:val="0"/>
          <w:bCs w:val="0"/>
          <w:color w:val="333333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仿宋_GB2312" w:eastAsia="仿宋_GB2312" w:hAnsi="仿宋_GB2312" w:cs="仿宋_GB2312" w:hint="eastAsia"/>
          <w:b w:val="0"/>
          <w:bCs w:val="0"/>
          <w:color w:val="333333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仿宋_GB2312" w:eastAsia="仿宋_GB2312" w:hAnsi="仿宋_GB2312" w:cs="仿宋_GB2312" w:hint="eastAsia"/>
          <w:b w:val="0"/>
          <w:bCs w:val="0"/>
          <w:color w:val="333333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仿宋_GB2312" w:eastAsia="仿宋_GB2312" w:hAnsi="仿宋_GB2312" w:cs="仿宋_GB2312" w:hint="eastAsia"/>
          <w:b w:val="0"/>
          <w:bCs w:val="0"/>
          <w:color w:val="333333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仿宋_GB2312" w:eastAsia="仿宋_GB2312" w:hAnsi="仿宋_GB2312" w:cs="仿宋_GB2312" w:hint="eastAsia"/>
          <w:b w:val="0"/>
          <w:bCs w:val="0"/>
          <w:color w:val="333333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仿宋_GB2312" w:eastAsia="仿宋_GB2312" w:hAnsi="仿宋_GB2312" w:cs="仿宋_GB2312" w:hint="eastAsia"/>
          <w:b w:val="0"/>
          <w:bCs w:val="0"/>
          <w:color w:val="333333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仿宋_GB2312" w:eastAsia="仿宋_GB2312" w:hAnsi="仿宋_GB2312" w:cs="仿宋_GB2312" w:hint="eastAsia"/>
          <w:b w:val="0"/>
          <w:bCs w:val="0"/>
          <w:color w:val="333333"/>
          <w:kern w:val="0"/>
          <w:sz w:val="32"/>
          <w:szCs w:val="32"/>
          <w:lang w:val="en-US" w:eastAsia="zh-CN"/>
        </w:rPr>
      </w:pPr>
    </w:p>
    <w:tbl>
      <w:tblPr>
        <w:tblStyle w:val="TableNormal"/>
        <w:tblpPr w:leftFromText="180" w:rightFromText="180" w:vertAnchor="text" w:horzAnchor="page" w:tblpX="1574" w:tblpY="156"/>
        <w:tblOverlap w:val="never"/>
        <w:tblW w:w="9180" w:type="dxa"/>
        <w:tblInd w:w="0" w:type="dxa"/>
        <w:tblBorders>
          <w:top w:val="single" w:sz="4" w:space="0" w:color="auto"/>
          <w:left w:val="none" w:sz="0" w:space="0" w:color="auto"/>
          <w:bottom w:val="single" w:sz="4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600" w:firstRow="0" w:lastRow="0" w:firstColumn="0" w:lastColumn="0" w:noHBand="1" w:noVBand="1"/>
      </w:tblPr>
      <w:tblGrid>
        <w:gridCol w:w="9180"/>
      </w:tblGrid>
      <w:tr>
        <w:tblPrEx>
          <w:tblW w:w="9180" w:type="dxa"/>
          <w:tblInd w:w="0" w:type="dxa"/>
          <w:tblBorders>
            <w:top w:val="single" w:sz="4" w:space="0" w:color="auto"/>
            <w:left w:val="none" w:sz="0" w:space="0" w:color="auto"/>
            <w:bottom w:val="single" w:sz="4" w:space="0" w:color="auto"/>
            <w:right w:val="none" w:sz="0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/>
        </w:trPr>
        <w:tc>
          <w:tcPr>
            <w:tcW w:w="9180" w:type="dxa"/>
            <w:noWrap w:val="0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Times New Roman" w:eastAsia="仿宋_GB2312" w:hAnsi="Times New Roman" w:cs="Times New Roman" w:hint="default"/>
                <w:sz w:val="28"/>
                <w:szCs w:val="28"/>
                <w:lang w:val="en-US" w:eastAsia="zh-CN"/>
              </w:rPr>
            </w:pPr>
            <w:r>
              <w:rPr>
                <w:rFonts w:ascii="Times New Roman" w:eastAsia="仿宋_GB2312" w:hAnsi="Times New Roman" w:cs="Times New Roman" w:hint="default"/>
                <w:sz w:val="28"/>
                <w:szCs w:val="28"/>
              </w:rPr>
              <w:t xml:space="preserve">抄送：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  <w:lang w:val="en-US" w:eastAsia="zh-CN"/>
              </w:rPr>
              <w:t xml:space="preserve">中共西宁市委网络安全和信息化委员会办公室。</w:t>
            </w:r>
          </w:p>
        </w:tc>
      </w:tr>
      <w:tr>
        <w:tblPrEx>
          <w:tblW w:w="9180" w:type="dxa"/>
          <w:tblInd w:w="0" w:type="dxa"/>
          <w:tblBorders>
            <w:top w:val="single" w:sz="4" w:space="0" w:color="auto"/>
            <w:left w:val="none" w:sz="0" w:space="0" w:color="auto"/>
            <w:bottom w:val="single" w:sz="4" w:space="0" w:color="auto"/>
            <w:right w:val="none" w:sz="0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/>
        <w:tc>
          <w:tcPr>
            <w:tcW w:w="9180" w:type="dxa"/>
            <w:noWrap w:val="0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eastAsia="仿宋_GB2312" w:hAnsi="Times New Roman" w:cs="Times New Roman" w:hint="default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  <w:lang w:eastAsia="zh-CN"/>
              </w:rPr>
              <w:t xml:space="preserve">西宁市</w:t>
            </w:r>
            <w:r>
              <w:rPr>
                <w:rFonts w:ascii="Times New Roman" w:eastAsia="仿宋_GB2312" w:hAnsi="Times New Roman" w:cs="Times New Roman" w:hint="default"/>
                <w:sz w:val="28"/>
                <w:szCs w:val="28"/>
              </w:rPr>
              <w:t xml:space="preserve">湟中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  <w:lang w:eastAsia="zh-CN"/>
              </w:rPr>
              <w:t xml:space="preserve">区</w:t>
            </w:r>
            <w:r>
              <w:rPr>
                <w:rFonts w:ascii="Times New Roman" w:eastAsia="仿宋_GB2312" w:hAnsi="Times New Roman" w:cs="Times New Roman" w:hint="default"/>
                <w:sz w:val="28"/>
                <w:szCs w:val="28"/>
              </w:rPr>
              <w:t xml:space="preserve">人民政府        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ascii="Times New Roman" w:eastAsia="仿宋_GB2312" w:hAnsi="Times New Roman" w:cs="Times New Roman" w:hint="default"/>
                <w:sz w:val="28"/>
                <w:szCs w:val="28"/>
              </w:rPr>
              <w:t xml:space="preserve">      </w:t>
            </w:r>
            <w:r>
              <w:rPr>
                <w:rFonts w:ascii="Times New Roman" w:eastAsia="仿宋_GB2312" w:hAnsi="Times New Roman" w:cs="Times New Roman" w:hint="default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ascii="Times New Roman" w:eastAsia="仿宋_GB2312" w:hAnsi="Times New Roman" w:cs="Times New Roman" w:hint="default"/>
                <w:sz w:val="28"/>
                <w:szCs w:val="28"/>
              </w:rPr>
              <w:t xml:space="preserve">20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  <w:lang w:val="en-US" w:eastAsia="zh-CN"/>
              </w:rPr>
              <w:t xml:space="preserve">22</w:t>
            </w:r>
            <w:r>
              <w:rPr>
                <w:rFonts w:ascii="Times New Roman" w:eastAsia="仿宋_GB2312" w:hAnsi="Times New Roman" w:cs="Times New Roman" w:hint="default"/>
                <w:sz w:val="28"/>
                <w:szCs w:val="28"/>
              </w:rPr>
              <w:t xml:space="preserve">年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  <w:lang w:val="en-US" w:eastAsia="zh-CN"/>
              </w:rPr>
              <w:t xml:space="preserve">2</w:t>
            </w:r>
            <w:r>
              <w:rPr>
                <w:rFonts w:ascii="Times New Roman" w:eastAsia="仿宋_GB2312" w:hAnsi="Times New Roman" w:cs="Times New Roman" w:hint="default"/>
                <w:sz w:val="28"/>
                <w:szCs w:val="28"/>
              </w:rPr>
              <w:t xml:space="preserve">月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  <w:lang w:val="en-US" w:eastAsia="zh-CN"/>
              </w:rPr>
              <w:t xml:space="preserve">19</w:t>
            </w:r>
            <w:r>
              <w:rPr>
                <w:rFonts w:ascii="Times New Roman" w:eastAsia="仿宋_GB2312" w:hAnsi="Times New Roman" w:cs="Times New Roman" w:hint="default"/>
                <w:sz w:val="28"/>
                <w:szCs w:val="28"/>
              </w:rPr>
              <w:t xml:space="preserve">日印发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仿宋_GB2312" w:eastAsia="仿宋_GB2312" w:hAnsi="仿宋_GB2312" w:cs="仿宋_GB2312" w:hint="eastAsia"/>
          <w:b w:val="0"/>
          <w:bCs w:val="0"/>
          <w:color w:val="333333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仿宋_GB2312" w:eastAsia="仿宋_GB2312" w:hAnsi="仿宋_GB2312" w:cs="仿宋_GB2312" w:hint="eastAsia"/>
          <w:b w:val="0"/>
          <w:bCs w:val="0"/>
          <w:color w:val="333333"/>
          <w:kern w:val="0"/>
          <w:sz w:val="32"/>
          <w:szCs w:val="32"/>
          <w:lang w:val="en-US" w:eastAsia="zh-CN"/>
        </w:rPr>
      </w:pPr>
    </w:p>
    <w:p>
      <w:pPr>
        <w:pStyle w:val="样式标题3+首行缩进:2字符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ascii="Times New Roman" w:eastAsia="仿宋_GB2312" w:hAnsi="Times New Roman" w:cs="Times New Roman" w:hint="eastAsia"/>
          <w:b w:val="0"/>
          <w:bCs w:val="0"/>
          <w:spacing w:val="0"/>
          <w:sz w:val="32"/>
          <w:szCs w:val="32"/>
          <w:lang w:eastAsia="zh-CN"/>
        </w:rPr>
      </w:pPr>
    </w:p>
    <w:p>
      <w:pPr>
        <w:pStyle w:val="样式标题3+首行缩进:2字符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ascii="Times New Roman" w:eastAsia="仿宋_GB2312" w:hAnsi="Times New Roman" w:cs="Times New Roman" w:hint="eastAsia"/>
          <w:b w:val="0"/>
          <w:bCs w:val="0"/>
          <w:spacing w:val="0"/>
          <w:sz w:val="32"/>
          <w:szCs w:val="32"/>
          <w:lang w:eastAsia="zh-CN"/>
        </w:rPr>
      </w:pPr>
    </w:p>
    <w:p>
      <w:pPr>
        <w:pStyle w:val="样式标题3+首行缩进:2字符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ascii="Times New Roman" w:eastAsia="仿宋_GB2312" w:hAnsi="Times New Roman" w:cs="Times New Roman" w:hint="eastAsia"/>
          <w:b w:val="0"/>
          <w:bCs w:val="0"/>
          <w:spacing w:val="0"/>
          <w:sz w:val="32"/>
          <w:szCs w:val="32"/>
          <w:lang w:eastAsia="zh-CN"/>
        </w:rPr>
      </w:pPr>
    </w:p>
    <w:p>
      <w:pPr>
        <w:pStyle w:val="样式标题3+首行缩进:2字符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ascii="Times New Roman" w:eastAsia="仿宋_GB2312" w:hAnsi="Times New Roman" w:cs="Times New Roman" w:hint="eastAsia"/>
          <w:b w:val="0"/>
          <w:bCs w:val="0"/>
          <w:spacing w:val="0"/>
          <w:sz w:val="32"/>
          <w:szCs w:val="32"/>
          <w:lang w:eastAsia="zh-CN"/>
        </w:rPr>
      </w:pPr>
    </w:p>
    <w:p>
      <w:pPr>
        <w:pStyle w:val="样式标题3+首行缩进:2字符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ascii="Times New Roman" w:eastAsia="仿宋_GB2312" w:hAnsi="Times New Roman" w:cs="Times New Roman" w:hint="eastAsia"/>
          <w:b w:val="0"/>
          <w:bCs w:val="0"/>
          <w:spacing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仿宋_GB2312" w:eastAsia="仿宋_GB2312" w:hAnsi="仿宋_GB2312" w:cs="仿宋_GB2312" w:hint="default"/>
          <w:b w:val="0"/>
          <w:bCs w:val="0"/>
          <w:color w:val="333333"/>
          <w:kern w:val="0"/>
          <w:sz w:val="32"/>
          <w:szCs w:val="32"/>
          <w:lang w:val="en-US" w:eastAsia="zh-CN"/>
        </w:rPr>
      </w:pPr>
    </w:p>
    <w:sectPr>
      <w:pgSz w:w="11906" w:h="16838" w:orient="portrait"/>
      <w:pgMar w:top="1440" w:right="1800" w:bottom="1440" w:left="1800" w:header="851" w:footer="992" w:gutter="0"/>
      <w:cols w:num="1" w:space="425">
        <w:col w:w="8306" w:space="425"/>
      </w:cols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 xmlns:mc="http://schemas.openxmlformats.org/markup-compatibility/2006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Auto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Auto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2">
    <w:multiLevelType w:val="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3">
    <w:multiLevelType w:val="multilevel"/>
    <w:lvl w:ilvl="0">
      <w:start w:val="1"/>
      <w:numFmt w:val="bullet"/>
      <w:suff w:val="tab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4">
    <w:multiLevelType w:val="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5">
    <w:multiLevelType w:val="multilevel"/>
    <w:lvl w:ilvl="0">
      <w:start w:val="1"/>
      <w:numFmt w:val="bullet"/>
      <w:suff w:val="tab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6">
    <w:multiLevelType w:val="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7">
    <w:multiLevelType w:val="multilevel"/>
    <w:lvl w:ilvl="0">
      <w:start w:val="1"/>
      <w:numFmt w:val="bullet"/>
      <w:suff w:val="tab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8">
    <w:multiLevelType w:val="singleLevel"/>
    <w:lvl w:ilvl="0">
      <w:start w:val="5"/>
      <w:numFmt w:val="chineseCounting"/>
      <w:suff w:val="nothing"/>
      <w:lvlText w:val="%1、"/>
      <w:lvlJc w:val="left"/>
      <w:pPr>
        <w:ind w:left="150"/>
      </w:pPr>
      <w:rPr>
        <w:rFonts w:hint="eastAsia"/>
      </w:rPr>
    </w:lvl>
  </w:abstractNum>
  <w:abstractNum w:abstractNumId="9">
    <w:multiLevelType w:val="singleLevel"/>
    <w:lvl w:ilvl="0">
      <w:start w:val="1"/>
      <w:numFmt w:val="chineseCounting"/>
      <w:suff w:val="nothing"/>
      <w:lvlText w:val="（%1）"/>
      <w:lvlJc w:val="left"/>
      <w:pPr>
        <w:ind w:left="-60"/>
      </w:pPr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xmlns:w15="http://schemas.microsoft.com/office/word/2012/wordml" mc:Ignorable="w14 w15">
  <w:zoom w:percent="110"/>
  <w:embedSystemFonts/>
  <w:bordersDoNotSurroundFooter w:val="0"/>
  <w:bordersDoNotSurroundHeader w:val="0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doNotFlipMirrorIndents" w:uri="http://schemas.microsoft.com/office/word" w:val="1"/>
    <w:compatSetting w:name="enableOpenTypeFeatures" w:uri="http://schemas.microsoft.com/office/word" w:val="1"/>
    <w:compatSetting w:name="overrideTableStyleFontSizeAndJustification" w:uri="http://schemas.microsoft.com/office/word" w:val="1"/>
    <w:compatSetting w:name="compatibilityMode" w:uri="http://schemas.microsoft.com/office/word" w:val="15"/>
  </w:compat>
  <m:mathPr>
    <m:mathFont m:val="Cambria Math"/>
    <m:brkBin m:val="before"/>
    <m:brkBinSub m:val="--"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 w:qFormat="1"/>
    <w:lsdException w:name="Body Text Indent" w:semiHidden="0" w:uiPriority="0" w:unhideWhenUsed="0" w:qFormat="1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nhideWhenUsed="0" w:qFormat="1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cs="Calibri"/>
      <w:kern w:val="2"/>
      <w:sz w:val="21"/>
      <w:szCs w:val="21"/>
      <w:lang w:val="en-US" w:eastAsia="zh-CN" w:bidi="ar-SA"/>
    </w:rPr>
  </w:style>
  <w:style w:type="paragraph" w:styleId="Heading3">
    <w:name w:val="Heading 3"/>
    <w:basedOn w:val="Normal"/>
    <w:next w:val="Normal"/>
    <w:qFormat/>
    <w:pPr>
      <w:keepNext/>
      <w:keepLines/>
      <w:spacing w:before="260" w:after="260" w:line="360" w:lineRule="auto"/>
      <w:outlineLvl w:val="2"/>
    </w:pPr>
    <w:rPr>
      <w:rFonts w:ascii="宋体" w:hAnsi="宋体"/>
      <w:b/>
      <w:bCs/>
      <w:sz w:val="24"/>
      <w:szCs w:val="28"/>
    </w:rPr>
  </w:style>
  <w:style w:type="character" w:default="1" w:styleId="DefaultParagraphFont">
    <w:name w:val="Default Paragraph Font"/>
    <w:semiHidden/>
    <w:qFormat/>
    <w:rPr/>
  </w:style>
  <w:style w:type="table" w:default="1" w:styleId="TableNormal">
    <w:name w:val="Normal Table"/>
    <w:semiHidden/>
    <w:qFormat/>
    <w:rPr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FirstIndent">
    <w:name w:val="Body Text First Indent"/>
    <w:basedOn w:val="BodyText"/>
    <w:next w:val="Normal"/>
    <w:uiPriority w:val="99"/>
    <w:qFormat/>
    <w:pPr>
      <w:ind w:firstLine="420" w:firstLineChars="100"/>
    </w:pPr>
    <w:rPr>
      <w:rFonts w:eastAsia="宋体"/>
    </w:rPr>
  </w:style>
  <w:style w:type="paragraph" w:styleId="BodyText">
    <w:name w:val="Body Text"/>
    <w:basedOn w:val="Normal"/>
    <w:qFormat/>
    <w:pPr>
      <w:widowControl/>
      <w:spacing w:after="120"/>
    </w:pPr>
    <w:rPr>
      <w:rFonts w:ascii="Calibri" w:eastAsia="宋体" w:hAnsi="Calibri" w:cs="Times New Roman"/>
      <w:sz w:val="24"/>
      <w:lang w:eastAsia="en-US" w:bidi="en-US"/>
    </w:rPr>
  </w:style>
  <w:style w:type="paragraph" w:styleId="BodyTextIndent">
    <w:name w:val="Body Text Indent"/>
    <w:basedOn w:val="Normal"/>
    <w:next w:val="Normal"/>
    <w:qFormat/>
    <w:pPr>
      <w:spacing w:after="120"/>
      <w:ind w:left="420" w:leftChars="200"/>
    </w:pPr>
    <w:rPr/>
  </w:style>
  <w:style w:type="paragraph" w:styleId="Normal(Web)">
    <w:name w:val="Normal (Web)"/>
    <w:basedOn w:val="Normal"/>
    <w:qFormat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paragraph" w:customStyle="1" w:styleId="样式标题3+首行缩进:2字符">
    <w:name w:val="样式 标题 3 + 首行缩进:  2 字符"/>
    <w:basedOn w:val="Heading3"/>
    <w:qFormat/>
    <w:pPr>
      <w:spacing w:before="0" w:after="0" w:line="480" w:lineRule="exact"/>
      <w:jc w:val="left"/>
    </w:pPr>
    <w:rPr>
      <w:rFonts w:eastAsia="宋体"/>
      <w:sz w:val="28"/>
      <w:lang w:bidi="ar-DZ"/>
    </w:rPr>
  </w:style>
  <w:style w:type="table" w:styleId="TableGrid">
    <w:name w:val="Table Grid"/>
    <w:basedOn w:val="TableNormal"/>
    <w:rPr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customXml" Target="../customXml/item1.xml" /><Relationship Id="rId10" Type="http://schemas.openxmlformats.org/officeDocument/2006/relationships/fontTable" Target="fontTable.xml" /><Relationship Id="rId11" Type="http://schemas.openxmlformats.org/officeDocument/2006/relationships/settings" Target="settings.xml" /><Relationship Id="rId2" Type="http://schemas.openxmlformats.org/officeDocument/2006/relationships/customXml" Target="../customXml/item2.xml" /><Relationship Id="rId3" Type="http://schemas.openxmlformats.org/officeDocument/2006/relationships/customXml" Target="../customXml/item3.xml" /><Relationship Id="rId4" Type="http://schemas.openxmlformats.org/officeDocument/2006/relationships/customXml" Target="../customXml/item4.xml" /><Relationship Id="rId5" Type="http://schemas.openxmlformats.org/officeDocument/2006/relationships/customXml" Target="../customXml/item5.xml" /><Relationship Id="rId6" Type="http://schemas.openxmlformats.org/officeDocument/2006/relationships/theme" Target="theme/theme1.xml" /><Relationship Id="rId7" Type="http://schemas.openxmlformats.org/officeDocument/2006/relationships/styles" Target="styles.xml" /><Relationship Id="rId8" Type="http://schemas.openxmlformats.org/officeDocument/2006/relationships/webSettings" Target="webSettings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str>2052-11.1.0.11365</vt:lpstr>
  </property>
  <property fmtid="{D5CDD505-2E9C-101B-9397-08002B2CF9AE}" pid="3" name="ICV">
    <vt:lpstr>BCB3B603EBF445EA8A1F6EAF329CEE83</vt:lpstr>
  </property>
</Properties>
</file>

<file path=customXml/item2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str>2052-11.1.0.11365</vt:lpstr>
  </property>
  <property fmtid="{D5CDD505-2E9C-101B-9397-08002B2CF9AE}" pid="3" name="ICV">
    <vt:lpstr>BCB3B603EBF445EA8A1F6EAF329CEE83</vt:lpstr>
  </property>
</Properties>
</file>

<file path=customXml/item3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str>2052-11.1.0.11365</vt:lpstr>
  </property>
  <property fmtid="{D5CDD505-2E9C-101B-9397-08002B2CF9AE}" pid="3" name="ICV">
    <vt:lpstr>BCB3B603EBF445EA8A1F6EAF329CEE83</vt:lpstr>
  </property>
</Properties>
</file>

<file path=customXml/item4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BCB3B603EBF445EA8A1F6EAF329CEE83</vt:lpwstr>
  </property>
</Properties>
</file>

<file path=customXml/item5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">
  <ds:schemaRefs/>
</ds:datastoreItem>
</file>

<file path=customXml/itemProps2.xml><?xml version="1.0" encoding="utf-8"?>
<ds:datastoreItem xmlns:ds="http://schemas.openxmlformats.org/officeDocument/2006/customXml" ds:itemID="">
  <ds:schemaRefs/>
</ds:datastoreItem>
</file>

<file path=customXml/itemProps3.xml><?xml version="1.0" encoding="utf-8"?>
<ds:datastoreItem xmlns:ds="http://schemas.openxmlformats.org/officeDocument/2006/customXml" ds:itemID="">
  <ds:schemaRefs/>
</ds:datastoreItem>
</file>

<file path=customXml/itemProps4.xml><?xml version="1.0" encoding="utf-8"?>
<ds:datastoreItem xmlns:ds="http://schemas.openxmlformats.org/officeDocument/2006/customXml" ds:itemID="">
  <ds:schemaRefs/>
</ds:datastoreItem>
</file>

<file path=customXml/itemProps5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</TotalTime>
  <Pages>1</Pages>
  <Words>0</Words>
  <Characters>0</Characters>
  <Application>WPS Office_11.1.0.11365_F1E327BC-269C-435d-A152-05C5408002CA</Application>
  <DocSecurity>0</DocSecurity>
  <Lines>0</Lines>
  <Paragraphs>0</Paragraphs>
  <CharactersWithSpaces>0</CharactersWithSpaces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77777</dc:creator>
  <cp:lastModifiedBy>Administrator</cp:lastModifiedBy>
  <cp:revision>1</cp:revision>
  <dcterms:created xsi:type="dcterms:W3CDTF">2022-01-18T14:07:00Z</dcterms:created>
  <dcterms:modified xsi:type="dcterms:W3CDTF">2022-03-09T02:33:26Z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str>2052-11.1.0.11365</vt:lpstr>
  </property>
  <property fmtid="{D5CDD505-2E9C-101B-9397-08002B2CF9AE}" pid="3" name="ICV">
    <vt:lpstr>BCB3B603EBF445EA8A1F6EAF329CEE83</vt:lpstr>
  </property>
</Properties>
</file>