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关于</w:t>
      </w:r>
      <w:r>
        <w:rPr>
          <w:rFonts w:hint="eastAsia" w:ascii="宋体" w:hAnsi="宋体" w:eastAsia="宋体" w:cs="宋体"/>
          <w:b/>
          <w:bCs/>
          <w:sz w:val="36"/>
          <w:szCs w:val="36"/>
          <w:lang w:val="en-US" w:eastAsia="zh-CN"/>
        </w:rPr>
        <w:t>2020年</w:t>
      </w:r>
      <w:r>
        <w:rPr>
          <w:rFonts w:hint="eastAsia" w:ascii="仿宋" w:hAnsi="仿宋" w:eastAsia="仿宋" w:cs="仿宋"/>
          <w:b/>
          <w:bCs/>
          <w:sz w:val="36"/>
          <w:szCs w:val="36"/>
          <w:lang w:val="en-US" w:eastAsia="zh-CN"/>
        </w:rPr>
        <w:t>行</w:t>
      </w:r>
      <w:r>
        <w:rPr>
          <w:rFonts w:hint="eastAsia" w:ascii="宋体" w:hAnsi="宋体" w:eastAsia="宋体" w:cs="宋体"/>
          <w:b/>
          <w:bCs/>
          <w:sz w:val="36"/>
          <w:szCs w:val="36"/>
          <w:lang w:val="en-US" w:eastAsia="zh-CN"/>
        </w:rPr>
        <w:t>政事业按比例安排残疾人就业情况</w:t>
      </w:r>
      <w:r>
        <w:rPr>
          <w:rFonts w:hint="eastAsia" w:ascii="宋体" w:hAnsi="宋体" w:eastAsia="宋体" w:cs="宋体"/>
          <w:b/>
          <w:bCs/>
          <w:sz w:val="36"/>
          <w:szCs w:val="36"/>
          <w:lang w:eastAsia="zh-CN"/>
        </w:rPr>
        <w:t>及残疾人保障金征缴情况的公示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按比例安排残疾人就业是每个单位的法律义务和社会责任</w:t>
      </w:r>
      <w:r>
        <w:rPr>
          <w:rFonts w:hint="eastAsia" w:ascii="仿宋" w:hAnsi="仿宋" w:eastAsia="仿宋" w:cs="仿宋"/>
          <w:sz w:val="32"/>
          <w:szCs w:val="32"/>
          <w:lang w:eastAsia="zh-CN"/>
        </w:rPr>
        <w:t>，</w:t>
      </w:r>
      <w:r>
        <w:rPr>
          <w:rFonts w:hint="eastAsia" w:ascii="仿宋" w:hAnsi="仿宋" w:eastAsia="仿宋" w:cs="仿宋"/>
          <w:sz w:val="32"/>
          <w:szCs w:val="32"/>
        </w:rPr>
        <w:t>全社会各用人单位都应积极吸纳残疾人就业。根据国务院《残疾人就业条例》、《关于加快推进残疾人小康进程的意见》（国发〔2015〕7号）、《青海省残疾人就业保障金征收使用管理实施办法》（青财综字〔2016〕1045号）、《青海省用人单位按比例安排残疾人就业公示办法》（青残联会发〔2017〕25号）有关精神，</w:t>
      </w:r>
      <w:r>
        <w:rPr>
          <w:rFonts w:hint="eastAsia" w:ascii="仿宋" w:hAnsi="仿宋" w:eastAsia="仿宋" w:cs="仿宋"/>
          <w:sz w:val="32"/>
          <w:szCs w:val="32"/>
          <w:lang w:val="en-US" w:eastAsia="zh-CN"/>
        </w:rPr>
        <w:t>湟中区直属机关、事业单位向属地税务机关自行申报残疾人就业情况并经湟中区残联审核确认,根据省、市残联要求 ,现将2020年行政事业单位超过法定比例安排残疾人就业的17家、达到法定比例安排残疾人就业的29家、依法缴纳残疾人就业保障金的59家、缺比例未缴纳残疾人保障金的11家以及未申报残疾人就业保障金的57家单位名单予以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 xml:space="preserve">各用人单位要向履行社会责任，带头按比例安置残疾人就业或依法足额缴纳残疾人就业保障金的相关单位学习，以习近平新时代中国特色社会主义思想为指导，坚定不移走中国特色社会主义道路，积极履行社会责任，主动安置残疾人就业，为建设“富强、民主、文明、和谐”的新湟中区做出更大的贡献。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2880" w:firstLineChars="9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湟中区人民政府残疾人工作委员会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480" w:firstLineChars="14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 xml:space="preserve">2021年2月26日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723" w:firstLineChars="200"/>
        <w:jc w:val="both"/>
        <w:textAlignment w:val="auto"/>
        <w:rPr>
          <w:rFonts w:hint="eastAsia" w:ascii="仿宋" w:hAnsi="仿宋" w:eastAsia="仿宋" w:cs="仿宋"/>
          <w:b/>
          <w:bCs/>
          <w:sz w:val="36"/>
          <w:szCs w:val="36"/>
          <w:lang w:val="en-US" w:eastAsia="zh-CN"/>
        </w:rPr>
        <w:sectPr>
          <w:pgSz w:w="11906" w:h="16838"/>
          <w:pgMar w:top="1440" w:right="1800" w:bottom="110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361" w:firstLineChars="1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2020年度湟中区安排残疾人就业比例超过1.5%的</w:t>
      </w:r>
    </w:p>
    <w:p>
      <w:pPr>
        <w:keepNext w:val="0"/>
        <w:keepLines w:val="0"/>
        <w:pageBreakBefore w:val="0"/>
        <w:widowControl w:val="0"/>
        <w:kinsoku/>
        <w:wordWrap/>
        <w:overflowPunct/>
        <w:topLinePunct w:val="0"/>
        <w:autoSpaceDE/>
        <w:autoSpaceDN/>
        <w:bidi w:val="0"/>
        <w:adjustRightInd/>
        <w:snapToGrid/>
        <w:spacing w:line="540" w:lineRule="exact"/>
        <w:ind w:firstLine="2891" w:firstLineChars="8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行政事业单位名单</w:t>
      </w: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（排名不分先后，共17家）</w:t>
      </w:r>
    </w:p>
    <w:tbl>
      <w:tblPr>
        <w:tblStyle w:val="6"/>
        <w:tblpPr w:leftFromText="180" w:rightFromText="180" w:vertAnchor="text" w:horzAnchor="page" w:tblpX="4282" w:tblpY="681"/>
        <w:tblOverlap w:val="never"/>
        <w:tblW w:w="3226" w:type="dxa"/>
        <w:tblInd w:w="0" w:type="dxa"/>
        <w:shd w:val="clear" w:color="auto" w:fill="auto"/>
        <w:tblLayout w:type="fixed"/>
        <w:tblCellMar>
          <w:top w:w="0" w:type="dxa"/>
          <w:left w:w="0" w:type="dxa"/>
          <w:bottom w:w="0" w:type="dxa"/>
          <w:right w:w="0" w:type="dxa"/>
        </w:tblCellMar>
      </w:tblPr>
      <w:tblGrid>
        <w:gridCol w:w="3226"/>
      </w:tblGrid>
      <w:tr>
        <w:tblPrEx>
          <w:shd w:val="clear" w:color="auto" w:fill="auto"/>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湟中区上五庄镇人民政府</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湟中区汉东回族乡人民政府</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湟中区李家山镇人民政府</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湟中区甘河滩镇人民政府</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湟中区海子沟乡人民政府</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湟中区康川街道办事处</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湟中区民政局</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湟中区就业局</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湟中区人民政府办公室</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湟中区残疾人联合会</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湟中区李家山镇中心学校</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湟中区上新庄镇中心学校</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湟中区第一人民医院</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湟中区拦隆口中心卫生院</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湟中区广播电视台</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湟中区水土保持工作站</w:t>
            </w:r>
          </w:p>
        </w:tc>
      </w:tr>
      <w:tr>
        <w:tblPrEx>
          <w:tblLayout w:type="fixed"/>
          <w:tblCellMar>
            <w:top w:w="0" w:type="dxa"/>
            <w:left w:w="0" w:type="dxa"/>
            <w:bottom w:w="0" w:type="dxa"/>
            <w:right w:w="0" w:type="dxa"/>
          </w:tblCellMar>
        </w:tblPrEx>
        <w:trPr>
          <w:trHeight w:val="380" w:hRule="atLeast"/>
        </w:trPr>
        <w:tc>
          <w:tcPr>
            <w:tcW w:w="322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湟中区小南川水库管理所</w:t>
            </w:r>
          </w:p>
        </w:tc>
      </w:tr>
    </w:tbl>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center"/>
        <w:textAlignment w:val="auto"/>
        <w:rPr>
          <w:rFonts w:hint="eastAsia" w:ascii="仿宋" w:hAnsi="仿宋" w:eastAsia="仿宋" w:cs="仿宋"/>
          <w:b/>
          <w:bCs/>
          <w:sz w:val="36"/>
          <w:szCs w:val="36"/>
          <w:lang w:val="en-US" w:eastAsia="zh-CN"/>
        </w:rPr>
      </w:pPr>
    </w:p>
    <w:p>
      <w:pPr>
        <w:tabs>
          <w:tab w:val="left" w:pos="3487"/>
        </w:tabs>
        <w:bidi w:val="0"/>
        <w:jc w:val="left"/>
        <w:rPr>
          <w:rFonts w:hint="eastAsia" w:cs="Times New Roman"/>
          <w:kern w:val="2"/>
          <w:sz w:val="21"/>
          <w:lang w:val="en-US" w:eastAsia="zh-CN"/>
        </w:rPr>
      </w:pPr>
      <w:r>
        <w:rPr>
          <w:rFonts w:hint="eastAsia" w:cs="Times New Roman"/>
          <w:kern w:val="2"/>
          <w:sz w:val="21"/>
          <w:lang w:val="en-US" w:eastAsia="zh-CN"/>
        </w:rPr>
        <w:tab/>
      </w:r>
    </w:p>
    <w:p>
      <w:pPr>
        <w:tabs>
          <w:tab w:val="left" w:pos="3487"/>
        </w:tabs>
        <w:bidi w:val="0"/>
        <w:jc w:val="left"/>
        <w:rPr>
          <w:rFonts w:hint="eastAsia" w:cs="Times New Roman"/>
          <w:kern w:val="2"/>
          <w:sz w:val="21"/>
          <w:lang w:val="en-US" w:eastAsia="zh-CN"/>
        </w:rPr>
      </w:pPr>
    </w:p>
    <w:p>
      <w:pPr>
        <w:bidi w:val="0"/>
        <w:rPr>
          <w:rFonts w:hint="eastAsia" w:ascii="Times New Roman" w:hAnsi="Times New Roman" w:eastAsia="宋体" w:cs="Times New Roman"/>
          <w:kern w:val="2"/>
          <w:sz w:val="21"/>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723" w:firstLineChars="2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361" w:firstLineChars="1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2020年度湟中区安排残疾人就业比例达到1.5%的</w:t>
      </w:r>
    </w:p>
    <w:p>
      <w:pPr>
        <w:keepNext w:val="0"/>
        <w:keepLines w:val="0"/>
        <w:pageBreakBefore w:val="0"/>
        <w:widowControl w:val="0"/>
        <w:kinsoku/>
        <w:wordWrap/>
        <w:overflowPunct/>
        <w:topLinePunct w:val="0"/>
        <w:autoSpaceDE/>
        <w:autoSpaceDN/>
        <w:bidi w:val="0"/>
        <w:adjustRightInd/>
        <w:snapToGrid/>
        <w:spacing w:line="540" w:lineRule="exact"/>
        <w:ind w:firstLine="2891" w:firstLineChars="8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行政事业单位名单</w:t>
      </w: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（排名不分先后，共29家）</w:t>
      </w:r>
    </w:p>
    <w:tbl>
      <w:tblPr>
        <w:tblStyle w:val="6"/>
        <w:tblpPr w:leftFromText="180" w:rightFromText="180" w:vertAnchor="text" w:horzAnchor="page" w:tblpX="4162" w:tblpY="954"/>
        <w:tblOverlap w:val="never"/>
        <w:tblW w:w="4306" w:type="dxa"/>
        <w:tblInd w:w="0" w:type="dxa"/>
        <w:shd w:val="clear" w:color="auto" w:fill="auto"/>
        <w:tblLayout w:type="fixed"/>
        <w:tblCellMar>
          <w:top w:w="0" w:type="dxa"/>
          <w:left w:w="0" w:type="dxa"/>
          <w:bottom w:w="0" w:type="dxa"/>
          <w:right w:w="0" w:type="dxa"/>
        </w:tblCellMar>
      </w:tblPr>
      <w:tblGrid>
        <w:gridCol w:w="4306"/>
      </w:tblGrid>
      <w:tr>
        <w:tblPrEx>
          <w:shd w:val="clear" w:color="auto" w:fill="auto"/>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湟中区多巴镇人民政府</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湟中区拦隆口镇人民政府</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湟中区共和镇人民政府</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湟中区上新庄镇人民政府</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湟中区教育局</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湟中区档案局</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湟中区人力资源和社会保障局</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湟中区社会保险服务局</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湟中区市场监督管理局</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湟中区水利局</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湟中区特殊教育学校</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湟中区田家寨中学</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湟中区甘河工业职业技术学校</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西宁卫生职业技术学校</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湟中区职业技术学校</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湟中区土门关乡中心学校</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湟中区第二中学</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湟中区田家寨镇中心学校</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湟中区拦隆口中学</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湟中区鲁沙尔幼儿园</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湟中区中医院</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湟中区海子沟乡卫生院</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湟中区鲁沙尔社区卫生服务中心</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湟中区农村公路养护中心</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湟中区畜牧兽医站</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中国人民银行湟中区支行</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湟中区盘道渠管理所</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青海省多巴强制隔离戒毒所</w:t>
            </w:r>
          </w:p>
        </w:tc>
      </w:tr>
      <w:tr>
        <w:tblPrEx>
          <w:tblLayout w:type="fixed"/>
          <w:tblCellMar>
            <w:top w:w="0" w:type="dxa"/>
            <w:left w:w="0" w:type="dxa"/>
            <w:bottom w:w="0" w:type="dxa"/>
            <w:right w:w="0" w:type="dxa"/>
          </w:tblCellMar>
        </w:tblPrEx>
        <w:trPr>
          <w:trHeight w:val="380" w:hRule="atLeast"/>
        </w:trPr>
        <w:tc>
          <w:tcPr>
            <w:tcW w:w="430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湟中区南朔山林场</w:t>
            </w:r>
          </w:p>
        </w:tc>
      </w:tr>
    </w:tbl>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446" w:firstLineChars="4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2020年度湟中区依法缴纳残疾人保障金</w:t>
      </w:r>
    </w:p>
    <w:p>
      <w:pPr>
        <w:keepNext w:val="0"/>
        <w:keepLines w:val="0"/>
        <w:pageBreakBefore w:val="0"/>
        <w:widowControl w:val="0"/>
        <w:kinsoku/>
        <w:wordWrap/>
        <w:overflowPunct/>
        <w:topLinePunct w:val="0"/>
        <w:autoSpaceDE/>
        <w:autoSpaceDN/>
        <w:bidi w:val="0"/>
        <w:adjustRightInd/>
        <w:snapToGrid/>
        <w:spacing w:line="540" w:lineRule="exact"/>
        <w:ind w:firstLine="2891" w:firstLineChars="8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行政事业单位名单</w:t>
      </w:r>
    </w:p>
    <w:p>
      <w:pPr>
        <w:keepNext w:val="0"/>
        <w:keepLines w:val="0"/>
        <w:pageBreakBefore w:val="0"/>
        <w:widowControl w:val="0"/>
        <w:kinsoku/>
        <w:wordWrap/>
        <w:overflowPunct/>
        <w:topLinePunct w:val="0"/>
        <w:autoSpaceDE/>
        <w:autoSpaceDN/>
        <w:bidi w:val="0"/>
        <w:adjustRightInd/>
        <w:snapToGrid/>
        <w:spacing w:line="540" w:lineRule="exact"/>
        <w:ind w:firstLine="1807" w:firstLineChars="5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（排名不分先后，共59家）</w:t>
      </w:r>
    </w:p>
    <w:tbl>
      <w:tblPr>
        <w:tblStyle w:val="6"/>
        <w:tblpPr w:leftFromText="180" w:rightFromText="180" w:vertAnchor="text" w:horzAnchor="page" w:tblpX="3158" w:tblpY="927"/>
        <w:tblOverlap w:val="never"/>
        <w:tblW w:w="6075" w:type="dxa"/>
        <w:tblInd w:w="0" w:type="dxa"/>
        <w:shd w:val="clear" w:color="auto" w:fill="auto"/>
        <w:tblLayout w:type="fixed"/>
        <w:tblCellMar>
          <w:top w:w="0" w:type="dxa"/>
          <w:left w:w="0" w:type="dxa"/>
          <w:bottom w:w="0" w:type="dxa"/>
          <w:right w:w="0" w:type="dxa"/>
        </w:tblCellMar>
      </w:tblPr>
      <w:tblGrid>
        <w:gridCol w:w="6075"/>
      </w:tblGrid>
      <w:tr>
        <w:tblPrEx>
          <w:shd w:val="clear" w:color="auto" w:fill="auto"/>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湟中区住房和城乡建设局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湟中区气象局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湟中区应急管理局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湟中区统计局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湟中区文体旅游局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湟中区财政局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湟中区发展和改革局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湟中区扶贫开发局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湟中区医疗保障局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湟中区自然资源局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湟中区退役军人事务局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湟中区生态环境保护局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湟中区交通运输局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湟中区审计局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湟中区人民法院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国家统计局湟中调查队</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西宁经济技术开发区甘河工业园区税务局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湟中区人大办公室</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中共湟中区委办公室</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湟中区政协办公室</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中共湟中区委宣传部</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中共湟中区委组织部</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湟中区委统战部</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共青团湟中区委员会</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湟中区妇女联合会</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湟中区委政法委员会</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湟中区纪委监委</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湟中区供销联社</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湟中区鲁沙尔民族文化旅游产业园管委会</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湟中区土地整理中心</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湟中区扶贫开发服务中心</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湟中区疾病预防控制中心</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湟中区公证处</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湟中区卫生计生综合行政执法大队</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湟中区水利综合行政执法大队</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湟中区农业机械化学校</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湟中区海子沟乡中心学校</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青海省塔尔寺藏医院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青海多巴国家高原体育训练基地</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湟中区藏医院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湟中区田家寨中心卫生院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湟中区西堡镇卫生院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湟中区鲁沙尔镇大源卫生院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湟中区群加藏族乡卫生院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湟中区大才回族乡卫生院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湟中区上五庄镇卫生院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湟中区汉东中心卫生院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湟中区李家山镇卫生院</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湟中区多巴社区卫生服务中心</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湟中区国寺营渠管理所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湟中区团结渠管理所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湟中区大南川水库管理所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湟中区大石门水库管理所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湟中区拦隆口渠管理所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湟中区西堡灌区管理所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湟中区盘道水库管理所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湟中区上新庄渠管理所</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青海省跆拳道运动协会</w:t>
            </w:r>
          </w:p>
        </w:tc>
      </w:tr>
      <w:tr>
        <w:tblPrEx>
          <w:tblLayout w:type="fixed"/>
          <w:tblCellMar>
            <w:top w:w="0" w:type="dxa"/>
            <w:left w:w="0" w:type="dxa"/>
            <w:bottom w:w="0" w:type="dxa"/>
            <w:right w:w="0" w:type="dxa"/>
          </w:tblCellMar>
        </w:tblPrEx>
        <w:trPr>
          <w:trHeight w:val="380" w:hRule="atLeast"/>
        </w:trPr>
        <w:tc>
          <w:tcPr>
            <w:tcW w:w="6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青海省足球协会</w:t>
            </w:r>
          </w:p>
        </w:tc>
      </w:tr>
    </w:tbl>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2020年度湟中区缺比例未缴纳残疾人保障金</w:t>
      </w:r>
    </w:p>
    <w:p>
      <w:pPr>
        <w:tabs>
          <w:tab w:val="left" w:pos="997"/>
        </w:tabs>
        <w:bidi w:val="0"/>
        <w:ind w:firstLine="2891" w:firstLineChars="800"/>
        <w:jc w:val="left"/>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行政事业单位名单</w:t>
      </w:r>
    </w:p>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（排名不分先后，共11家）</w:t>
      </w:r>
    </w:p>
    <w:tbl>
      <w:tblPr>
        <w:tblStyle w:val="6"/>
        <w:tblpPr w:leftFromText="180" w:rightFromText="180" w:vertAnchor="text" w:horzAnchor="page" w:tblpX="3982" w:tblpY="940"/>
        <w:tblOverlap w:val="never"/>
        <w:tblW w:w="3931" w:type="dxa"/>
        <w:tblInd w:w="0" w:type="dxa"/>
        <w:shd w:val="clear" w:color="auto" w:fill="auto"/>
        <w:tblLayout w:type="fixed"/>
        <w:tblCellMar>
          <w:top w:w="0" w:type="dxa"/>
          <w:left w:w="0" w:type="dxa"/>
          <w:bottom w:w="0" w:type="dxa"/>
          <w:right w:w="0" w:type="dxa"/>
        </w:tblCellMar>
      </w:tblPr>
      <w:tblGrid>
        <w:gridCol w:w="3931"/>
      </w:tblGrid>
      <w:tr>
        <w:tblPrEx>
          <w:shd w:val="clear" w:color="auto" w:fill="auto"/>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湟中区田家寨镇人民政府</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湟中区鲁沙尔镇人民政府</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湟中区公安局</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湟中区大才回族乡中心学校</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湟中区第一中学</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湟中区西堡镇中心学校</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湟中区多巴镇中心学校</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湟中区多巴高级中学</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湟中区拦隆口镇中心学校</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湟中区第二人民医院</w:t>
            </w:r>
          </w:p>
        </w:tc>
      </w:tr>
      <w:tr>
        <w:tblPrEx>
          <w:tblLayout w:type="fixed"/>
          <w:tblCellMar>
            <w:top w:w="0" w:type="dxa"/>
            <w:left w:w="0" w:type="dxa"/>
            <w:bottom w:w="0" w:type="dxa"/>
            <w:right w:w="0" w:type="dxa"/>
          </w:tblCellMar>
        </w:tblPrEx>
        <w:trPr>
          <w:trHeight w:val="380" w:hRule="atLeast"/>
        </w:trPr>
        <w:tc>
          <w:tcPr>
            <w:tcW w:w="393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湟中区共和中心卫生院</w:t>
            </w:r>
          </w:p>
        </w:tc>
      </w:tr>
    </w:tbl>
    <w:p>
      <w:pPr>
        <w:tabs>
          <w:tab w:val="left" w:pos="997"/>
        </w:tabs>
        <w:bidi w:val="0"/>
        <w:ind w:firstLine="2168" w:firstLineChars="600"/>
        <w:jc w:val="left"/>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084" w:firstLineChars="300"/>
        <w:jc w:val="both"/>
        <w:textAlignment w:val="auto"/>
        <w:rPr>
          <w:rFonts w:hint="eastAsia" w:ascii="仿宋" w:hAnsi="仿宋" w:eastAsia="仿宋" w:cs="仿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446" w:firstLineChars="4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w:t>
      </w:r>
      <w:bookmarkStart w:id="0" w:name="_GoBack"/>
      <w:bookmarkEnd w:id="0"/>
      <w:r>
        <w:rPr>
          <w:rFonts w:hint="eastAsia" w:ascii="仿宋" w:hAnsi="仿宋" w:eastAsia="仿宋" w:cs="仿宋"/>
          <w:b/>
          <w:bCs/>
          <w:sz w:val="36"/>
          <w:szCs w:val="36"/>
          <w:lang w:val="en-US" w:eastAsia="zh-CN"/>
        </w:rPr>
        <w:t>年度湟中区未申报残疾人保障金</w:t>
      </w:r>
    </w:p>
    <w:p>
      <w:pPr>
        <w:keepNext w:val="0"/>
        <w:keepLines w:val="0"/>
        <w:pageBreakBefore w:val="0"/>
        <w:widowControl w:val="0"/>
        <w:kinsoku/>
        <w:wordWrap/>
        <w:overflowPunct/>
        <w:topLinePunct w:val="0"/>
        <w:autoSpaceDE/>
        <w:autoSpaceDN/>
        <w:bidi w:val="0"/>
        <w:adjustRightInd/>
        <w:snapToGrid/>
        <w:spacing w:line="540" w:lineRule="exact"/>
        <w:ind w:firstLine="2530" w:firstLineChars="7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行政事业单位名单</w:t>
      </w:r>
    </w:p>
    <w:p>
      <w:pPr>
        <w:keepNext w:val="0"/>
        <w:keepLines w:val="0"/>
        <w:pageBreakBefore w:val="0"/>
        <w:widowControl w:val="0"/>
        <w:kinsoku/>
        <w:wordWrap/>
        <w:overflowPunct/>
        <w:topLinePunct w:val="0"/>
        <w:autoSpaceDE/>
        <w:autoSpaceDN/>
        <w:bidi w:val="0"/>
        <w:adjustRightInd/>
        <w:snapToGrid/>
        <w:spacing w:line="540" w:lineRule="exact"/>
        <w:ind w:firstLine="1807" w:firstLineChars="5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（排名不分先后，共57家）</w:t>
      </w:r>
    </w:p>
    <w:tbl>
      <w:tblPr>
        <w:tblStyle w:val="6"/>
        <w:tblpPr w:leftFromText="180" w:rightFromText="180" w:vertAnchor="text" w:horzAnchor="page" w:tblpX="3368" w:tblpY="892"/>
        <w:tblOverlap w:val="never"/>
        <w:tblW w:w="5101" w:type="dxa"/>
        <w:tblInd w:w="0" w:type="dxa"/>
        <w:shd w:val="clear" w:color="auto" w:fill="auto"/>
        <w:tblLayout w:type="fixed"/>
        <w:tblCellMar>
          <w:top w:w="0" w:type="dxa"/>
          <w:left w:w="0" w:type="dxa"/>
          <w:bottom w:w="0" w:type="dxa"/>
          <w:right w:w="0" w:type="dxa"/>
        </w:tblCellMar>
      </w:tblPr>
      <w:tblGrid>
        <w:gridCol w:w="5101"/>
      </w:tblGrid>
      <w:tr>
        <w:tblPrEx>
          <w:shd w:val="clear" w:color="auto" w:fill="auto"/>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湟中区大才回族乡人民政府</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湟中区土门关乡人民政府</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湟中区西堡镇人民政府</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湟中区群加藏族乡人民政府</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湟中区司法局</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湟中区林业和草原局</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湟中区农业农村局</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湟中区农业农村局会计核算中心</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湟中区卫生健康局</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西宁市公安局甘河工业园区公安分局</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湟中区人民武装部</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湟中区人民检察院</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湟中区多巴新城管委会</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湟中区总工会</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湟中区工商联</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湟中区委党校</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湟中区共和镇中心学校</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湟中区鲁沙尔镇中心学校</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湟中区康川学校</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湟中区上五庄镇中心学校</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湟中区甘河滩镇中心学校</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湟中区鲁沙尔镇第二小学</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湟中区群加乡中心学校</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湟中区甘河滩镇卫生院</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湟中区上新庄中心卫生院</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湟中区土门关乡卫生院</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湟中区康川中心卫生院</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湟中区农产品质量安全检测中心</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湟中区农畜产品信息服务中心</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湟中区蔬菜技术服务中心</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湟中区农业技术推广中心</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湟中区保障性住房管理服务中心</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湟中区妇幼保健计划生育服务中心</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湟中区云谷川水库管理所</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湟中区上五庄林场</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湟中区甘河滩林场</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湟中区群加林场</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湟中区林业站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湟中区种苗站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湟中区森林病虫害防治检疫站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湟中区草原站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湟中区农村经济经营服务站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湟中区农机推广站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湟中区种子站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湟中区兽医卫生检疫站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湟中区水保站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湟中区水利站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湟中区建筑工程质量监督站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湟中区环境保护检测站</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湟中区交通运输综合行政执法大队</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湟中区旅游执法大队</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湟中区公安局交通管理大队</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湟中区防汛抗旱服务队</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湟中区城乡管理综合行政执法大队</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湟中区环境保护检查大队</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西宁经济技术开发区甘河工业园区管理委员会</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湟中区人工影响天气办公室</w:t>
            </w:r>
          </w:p>
        </w:tc>
      </w:tr>
      <w:tr>
        <w:tblPrEx>
          <w:tblLayout w:type="fixed"/>
          <w:tblCellMar>
            <w:top w:w="0" w:type="dxa"/>
            <w:left w:w="0" w:type="dxa"/>
            <w:bottom w:w="0" w:type="dxa"/>
            <w:right w:w="0" w:type="dxa"/>
          </w:tblCellMar>
        </w:tblPrEx>
        <w:trPr>
          <w:trHeight w:val="380" w:hRule="atLeast"/>
        </w:trPr>
        <w:tc>
          <w:tcPr>
            <w:tcW w:w="510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40" w:lineRule="exact"/>
        <w:ind w:firstLine="2168" w:firstLineChars="600"/>
        <w:jc w:val="both"/>
        <w:textAlignment w:val="auto"/>
        <w:rPr>
          <w:rFonts w:hint="eastAsia" w:ascii="仿宋" w:hAnsi="仿宋" w:eastAsia="仿宋" w:cs="仿宋"/>
          <w:b/>
          <w:bCs/>
          <w:sz w:val="36"/>
          <w:szCs w:val="36"/>
          <w:lang w:val="en-US" w:eastAsia="zh-CN"/>
        </w:rPr>
      </w:pPr>
    </w:p>
    <w:p>
      <w:pPr>
        <w:bidi w:val="0"/>
        <w:jc w:val="center"/>
        <w:rPr>
          <w:rFonts w:hint="eastAsia"/>
          <w:lang w:val="en-US" w:eastAsia="zh-CN"/>
        </w:rPr>
      </w:pPr>
    </w:p>
    <w:p>
      <w:pPr>
        <w:bidi w:val="0"/>
        <w:rPr>
          <w:rFonts w:hint="eastAsia" w:ascii="Times New Roman" w:hAnsi="Times New Roman" w:eastAsia="宋体" w:cs="Times New Roman"/>
          <w:kern w:val="2"/>
          <w:sz w:val="21"/>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997"/>
        </w:tabs>
        <w:bidi w:val="0"/>
        <w:jc w:val="left"/>
        <w:rPr>
          <w:rFonts w:hint="eastAsia"/>
          <w:lang w:val="en-US" w:eastAsia="zh-CN"/>
        </w:rPr>
      </w:pPr>
      <w:r>
        <w:rPr>
          <w:rFonts w:hint="eastAsia"/>
          <w:lang w:val="en-US" w:eastAsia="zh-CN"/>
        </w:rPr>
        <w:tab/>
      </w: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p>
      <w:pPr>
        <w:tabs>
          <w:tab w:val="left" w:pos="997"/>
        </w:tabs>
        <w:bidi w:val="0"/>
        <w:jc w:val="left"/>
        <w:rPr>
          <w:rFonts w:hint="eastAsia"/>
          <w:lang w:val="en-US" w:eastAsia="zh-CN"/>
        </w:rPr>
      </w:pPr>
    </w:p>
    <w:sectPr>
      <w:footerReference r:id="rId3" w:type="default"/>
      <w:pgSz w:w="11906" w:h="16838"/>
      <w:pgMar w:top="1440" w:right="1800" w:bottom="110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0006"/>
    <w:rsid w:val="0035184C"/>
    <w:rsid w:val="006D058F"/>
    <w:rsid w:val="016046E9"/>
    <w:rsid w:val="017573D9"/>
    <w:rsid w:val="01F54F98"/>
    <w:rsid w:val="035E4BE2"/>
    <w:rsid w:val="051F77D0"/>
    <w:rsid w:val="05E47199"/>
    <w:rsid w:val="0654455A"/>
    <w:rsid w:val="08122AD9"/>
    <w:rsid w:val="08646520"/>
    <w:rsid w:val="08F46B04"/>
    <w:rsid w:val="092053A3"/>
    <w:rsid w:val="09934B43"/>
    <w:rsid w:val="09D43707"/>
    <w:rsid w:val="0AD66C35"/>
    <w:rsid w:val="0B765F79"/>
    <w:rsid w:val="0BBC32A9"/>
    <w:rsid w:val="0BDA61D7"/>
    <w:rsid w:val="0C3F5112"/>
    <w:rsid w:val="0C530FDF"/>
    <w:rsid w:val="0CB9462E"/>
    <w:rsid w:val="0D5517C3"/>
    <w:rsid w:val="0F0B1EDA"/>
    <w:rsid w:val="111047AC"/>
    <w:rsid w:val="114D5D30"/>
    <w:rsid w:val="12AF5C8E"/>
    <w:rsid w:val="14203448"/>
    <w:rsid w:val="14E1220B"/>
    <w:rsid w:val="177B1956"/>
    <w:rsid w:val="182453EF"/>
    <w:rsid w:val="1A8E680C"/>
    <w:rsid w:val="1C2B62D8"/>
    <w:rsid w:val="1CBC6C2E"/>
    <w:rsid w:val="1F4D09AC"/>
    <w:rsid w:val="1FF70F05"/>
    <w:rsid w:val="21D045CC"/>
    <w:rsid w:val="21DF5BD4"/>
    <w:rsid w:val="21EE5E08"/>
    <w:rsid w:val="223B6EBC"/>
    <w:rsid w:val="225B5EA8"/>
    <w:rsid w:val="228B1CCD"/>
    <w:rsid w:val="22B85C00"/>
    <w:rsid w:val="22EA73A2"/>
    <w:rsid w:val="238F4F73"/>
    <w:rsid w:val="23C4717D"/>
    <w:rsid w:val="24AF5145"/>
    <w:rsid w:val="252D07FD"/>
    <w:rsid w:val="26F70561"/>
    <w:rsid w:val="274616EE"/>
    <w:rsid w:val="2790302A"/>
    <w:rsid w:val="284920A5"/>
    <w:rsid w:val="28BF61F1"/>
    <w:rsid w:val="29163F25"/>
    <w:rsid w:val="294D11F7"/>
    <w:rsid w:val="296E21A4"/>
    <w:rsid w:val="2985075F"/>
    <w:rsid w:val="2A4A31E4"/>
    <w:rsid w:val="2B57320B"/>
    <w:rsid w:val="2BD46BE5"/>
    <w:rsid w:val="2C014969"/>
    <w:rsid w:val="2C3E481E"/>
    <w:rsid w:val="2D3163E7"/>
    <w:rsid w:val="2D7D427A"/>
    <w:rsid w:val="2F5F4ECF"/>
    <w:rsid w:val="2F6F111D"/>
    <w:rsid w:val="2FD55181"/>
    <w:rsid w:val="3091115F"/>
    <w:rsid w:val="312624AB"/>
    <w:rsid w:val="314E3A08"/>
    <w:rsid w:val="32B207A8"/>
    <w:rsid w:val="34EE3A3A"/>
    <w:rsid w:val="3651476C"/>
    <w:rsid w:val="37334FF5"/>
    <w:rsid w:val="38E53E6A"/>
    <w:rsid w:val="3B2652F9"/>
    <w:rsid w:val="3B64564B"/>
    <w:rsid w:val="3CB90322"/>
    <w:rsid w:val="3E037A1A"/>
    <w:rsid w:val="3F0621D4"/>
    <w:rsid w:val="3F496DCB"/>
    <w:rsid w:val="41124AA8"/>
    <w:rsid w:val="41AA0534"/>
    <w:rsid w:val="41C443C3"/>
    <w:rsid w:val="41F95FD7"/>
    <w:rsid w:val="421D1107"/>
    <w:rsid w:val="423857FC"/>
    <w:rsid w:val="429935AF"/>
    <w:rsid w:val="439437A4"/>
    <w:rsid w:val="44D66EA5"/>
    <w:rsid w:val="44F71D8C"/>
    <w:rsid w:val="4A5B3720"/>
    <w:rsid w:val="4B1F43B6"/>
    <w:rsid w:val="4C1E0CD7"/>
    <w:rsid w:val="4CB87658"/>
    <w:rsid w:val="4CC747B3"/>
    <w:rsid w:val="4D394DCE"/>
    <w:rsid w:val="4D5974E2"/>
    <w:rsid w:val="4D87751F"/>
    <w:rsid w:val="4EB207AB"/>
    <w:rsid w:val="4F4F6A3C"/>
    <w:rsid w:val="515774D0"/>
    <w:rsid w:val="52040EAF"/>
    <w:rsid w:val="52162DBC"/>
    <w:rsid w:val="522845F0"/>
    <w:rsid w:val="52B04324"/>
    <w:rsid w:val="537707B5"/>
    <w:rsid w:val="558A215F"/>
    <w:rsid w:val="55964822"/>
    <w:rsid w:val="56840689"/>
    <w:rsid w:val="56AD492A"/>
    <w:rsid w:val="56D05B2B"/>
    <w:rsid w:val="58C57BAA"/>
    <w:rsid w:val="590C3410"/>
    <w:rsid w:val="59217954"/>
    <w:rsid w:val="59735240"/>
    <w:rsid w:val="59867075"/>
    <w:rsid w:val="59AB76E1"/>
    <w:rsid w:val="5A004409"/>
    <w:rsid w:val="5ADE487E"/>
    <w:rsid w:val="5D8F58DB"/>
    <w:rsid w:val="5E1D522B"/>
    <w:rsid w:val="5E43395B"/>
    <w:rsid w:val="5E6A3504"/>
    <w:rsid w:val="5E8C3752"/>
    <w:rsid w:val="5EAB2505"/>
    <w:rsid w:val="5EBD48ED"/>
    <w:rsid w:val="5F0C1D7F"/>
    <w:rsid w:val="61535D7F"/>
    <w:rsid w:val="61846D87"/>
    <w:rsid w:val="621D7ABC"/>
    <w:rsid w:val="63F250A8"/>
    <w:rsid w:val="64FD3409"/>
    <w:rsid w:val="66AD2879"/>
    <w:rsid w:val="67444C43"/>
    <w:rsid w:val="68623F9E"/>
    <w:rsid w:val="68B70676"/>
    <w:rsid w:val="695C0A83"/>
    <w:rsid w:val="6AFF78CC"/>
    <w:rsid w:val="6B1724D5"/>
    <w:rsid w:val="6B302A2F"/>
    <w:rsid w:val="6B6E2305"/>
    <w:rsid w:val="6D1B2A63"/>
    <w:rsid w:val="6D3D423E"/>
    <w:rsid w:val="6D765FC0"/>
    <w:rsid w:val="6E2202A5"/>
    <w:rsid w:val="70486130"/>
    <w:rsid w:val="705963DE"/>
    <w:rsid w:val="70F31A30"/>
    <w:rsid w:val="71506F16"/>
    <w:rsid w:val="71577162"/>
    <w:rsid w:val="71716796"/>
    <w:rsid w:val="72B353B0"/>
    <w:rsid w:val="74863568"/>
    <w:rsid w:val="74A358BE"/>
    <w:rsid w:val="75717AE8"/>
    <w:rsid w:val="7926251B"/>
    <w:rsid w:val="7AA66826"/>
    <w:rsid w:val="7C2E7F9F"/>
    <w:rsid w:val="7C7A62E9"/>
    <w:rsid w:val="7C825DCC"/>
    <w:rsid w:val="7D6B1CCC"/>
    <w:rsid w:val="7D856A47"/>
    <w:rsid w:val="7D8D5D5F"/>
    <w:rsid w:val="7DFD7733"/>
    <w:rsid w:val="7E2264CC"/>
    <w:rsid w:val="7E2743A7"/>
    <w:rsid w:val="7F262814"/>
    <w:rsid w:val="7F8B2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2021-02-24T01:41:00Z</dcterms:created>
  <dc:creator>Administrator</dc:creator>
  <cp:lastModifiedBy>Administrator</cp:lastModifiedBy>
  <cp:lastPrinted>2021-03-04T03:02:00Z</cp:lastPrinted>
  <dcterms:modified xsi:type="dcterms:W3CDTF">2021-03-04T03:16:29Z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