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湟中区民族宗教事务局2021年度政府信息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公开工作年度报告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2021年是“十四五”规划开局之年，在省市统战（民宗）部门和区委、区政府的精心指导下，我局认真履开展工作，全面落实《中华人民共和国政府信息公开条例》，不断加大公开力度，提升政府信息公开工作服务水平。确定专人负责，以建设服务型机关为目标，网上公示和公示栏公示相结合，提升公示力度。2021年办理清真食品许可证265家。此外，我局主动接受社会监督，设立监督电话，接受公众投诉。</w:t>
      </w:r>
    </w:p>
    <w:p>
      <w:pPr>
        <w:widowControl/>
        <w:spacing w:after="240" w:line="432" w:lineRule="atLeast"/>
        <w:ind w:firstLine="48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现行有效件数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行政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265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spacing w:after="240" w:line="432" w:lineRule="atLeas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after="240"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  <w:lang w:eastAsia="zh-CN"/>
        </w:rPr>
        <w:t xml:space="preserve">四、</w:t>
      </w: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  <w:t xml:space="preserve">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ind w:firstLine="640" w:firstLineChars="200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五、</w:t>
      </w: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存在的主要问题及改进情况</w:t>
      </w:r>
    </w:p>
    <w:p>
      <w:pPr>
        <w:widowControl/>
        <w:spacing w:line="432" w:lineRule="atLeast"/>
        <w:ind w:firstLine="48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（一）存在的问题。</w:t>
      </w:r>
    </w:p>
    <w:p>
      <w:pPr>
        <w:widowControl/>
        <w:spacing w:line="432" w:lineRule="atLeast"/>
        <w:ind w:firstLine="640" w:firstLineChars="20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网上公开及时性还需进一步提升，存在部分信息公开不及时等问题。</w:t>
      </w:r>
    </w:p>
    <w:p>
      <w:pPr>
        <w:widowControl/>
        <w:spacing w:line="432" w:lineRule="atLeast"/>
        <w:ind w:firstLine="480"/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333333"/>
          <w:kern w:val="0"/>
          <w:sz w:val="32"/>
          <w:szCs w:val="32"/>
          <w:lang w:eastAsia="zh-CN"/>
        </w:rPr>
        <w:t xml:space="preserve">（二）改进措施</w:t>
      </w:r>
    </w:p>
    <w:p>
      <w:pPr>
        <w:widowControl/>
        <w:spacing w:line="432" w:lineRule="atLeast"/>
        <w:ind w:firstLine="48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1.健全政府信息公开制度，及时公开相关信息，确保政府信息公开工作规范化和常态化。</w:t>
      </w:r>
    </w:p>
    <w:p>
      <w:pPr>
        <w:widowControl/>
        <w:spacing w:line="432" w:lineRule="atLeast"/>
        <w:ind w:firstLine="48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2.认真学习《中华人民共和国政府信息公开条例》，提升自身水平。</w:t>
      </w:r>
    </w:p>
    <w:p>
      <w:pPr>
        <w:widowControl/>
        <w:spacing w:line="432" w:lineRule="atLeast"/>
        <w:ind w:firstLine="480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  <w:t xml:space="preserve">六、其他需要报告的事项</w:t>
      </w:r>
    </w:p>
    <w:p>
      <w:pPr>
        <w:widowControl/>
        <w:spacing w:line="432" w:lineRule="atLeast"/>
        <w:ind w:firstLine="48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无其他需要报告的事项</w:t>
      </w:r>
    </w:p>
    <w:p>
      <w:pPr>
        <w:bidi w:val="0"/>
        <w:rPr>
          <w:rFonts w:ascii="Calibri" w:eastAsia="宋体" w:hAnsi="Calibri" w:cs="Calibri" w:hint="eastAsia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7091"/>
        </w:tabs>
        <w:bidi w:val="0"/>
        <w:ind w:firstLine="4800" w:firstLineChars="150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tabs>
          <w:tab w:val="left" w:pos="7091"/>
        </w:tabs>
        <w:bidi w:val="0"/>
        <w:ind w:firstLine="4800" w:firstLineChars="1500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湟中区民族宗教事务局</w: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691"/>
        </w:tabs>
        <w:bidi w:val="0"/>
        <w:ind w:firstLine="5120" w:firstLineChars="1600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2022年1月17日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E0B7B857442A41E8BA17ED3011DC8364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E0B7B857442A41E8BA17ED3011DC8364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E0B7B857442A41E8BA17ED3011DC8364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E0B7B857442A41E8BA17ED3011DC8364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马劭怿</dc:creator>
  <cp:lastModifiedBy>黄娟</cp:lastModifiedBy>
  <cp:revision>1</cp:revision>
  <cp:lastPrinted>2022-01-17T08:39:00Z</cp:lastPrinted>
  <dcterms:created xsi:type="dcterms:W3CDTF">2022-01-17T01:44:00Z</dcterms:created>
  <dcterms:modified xsi:type="dcterms:W3CDTF">2022-01-19T05:28:40Z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E0B7B857442A41E8BA17ED3011DC8364</vt:lpstr>
  </property>
</Properties>
</file>