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eastAsia="zh-CN"/>
        </w:rPr>
        <w:t xml:space="preserve">湟中区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文体旅游局2021年度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br/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eastAsia="zh-CN"/>
        </w:rPr>
        <w:t xml:space="preserve">政府信息公开工作年度报告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" w:eastAsia="仿宋" w:hAnsi="仿宋" w:cs="仿宋"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leftChars="0" w:rightChars="0" w:firstLineChars="200"/>
        <w:textAlignment w:val="auto"/>
        <w:outlineLvl w:val="9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 xml:space="preserve"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leftChars="0" w:rightChars="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文体旅游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局高度重视政府信息与政务公开年度报告编制工作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，严格比照“主动公开目录事项”标准，努力提升政府信息公开的能力和水平，及时准确做好各项信息的公开发布工作，切实保障人民群众的知情权、参与权、监督权和表达权。现将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文体旅游局202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年度政府信息公开工作报告如下：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3" w:leftChars="0" w:rightChars="0" w:firstLineChars="200"/>
        <w:textAlignment w:val="auto"/>
        <w:outlineLvl w:val="9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（一）主要做法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3" w:leftChars="0" w:rightChars="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一是完善制度，健全组织。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确立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政府信息公开工作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人员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，具体负责日常工作。制定相关制度，明确信息公开基本要求以及公开的内容、形式和时间，保证公开事项的准确性、科学性、时效性。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3" w:leftChars="0" w:rightChars="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二是加强领导，规范运作。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为推进落实好我局政务信息公开工作，建立了以局办公室为联络平台、以各责任科室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、馆校和执法大队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为内容支撑的保障平台。落实专人定期公开我局发布的涉及公共服务的相关文件，建立覆盖全系统的政府信息公开联络员网络，开展信息发布、保密审查等业务培训。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3" w:leftChars="0" w:rightChars="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三是回应关切，拓展阵地。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湟中区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人民政府网为主阵地，辅以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区广播电视局等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相关媒体合作平台，线上线下解读最新政策、回应社会关切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的文旅事项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3" w:leftChars="0" w:rightChars="0" w:firstLineChars="200"/>
        <w:textAlignment w:val="auto"/>
        <w:outlineLvl w:val="9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（二）政府信息公开情况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leftChars="0" w:rightChars="0" w:firstLineChars="200"/>
        <w:textAlignment w:val="auto"/>
        <w:outlineLvl w:val="9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湟中区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文体旅游局通过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人民政府网站向社会主动公开政府信息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条。其中：规范性文件类信息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条，其它类别信息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条。本年度，我局收到依申请公开政府信息的申请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条；未发生因政府信息公开工作而提起的行政复议、行政诉讼和行政申诉的情况。按照规定公开政府信息，没有收取任何费用。报告中所列数据统计期限为202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年1月1日至202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年12月28日。</w:t>
      </w:r>
    </w:p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 w:leftChars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iCs w:val="0"/>
          <w:caps w:val="0"/>
          <w:color w:val="414141"/>
          <w:spacing w:val="0"/>
          <w:sz w:val="24"/>
          <w:szCs w:val="24"/>
        </w:rPr>
      </w:pPr>
      <w:r>
        <w:rPr>
          <w:rStyle w:val="Strong"/>
          <w:rFonts w:ascii="微软雅黑" w:eastAsia="微软雅黑" w:hAnsi="微软雅黑" w:cs="微软雅黑" w:hint="eastAsia"/>
          <w:i w:val="0"/>
          <w:iCs w:val="0"/>
          <w:caps w:val="0"/>
          <w:color w:val="414141"/>
          <w:spacing w:val="0"/>
          <w:sz w:val="24"/>
          <w:szCs w:val="24"/>
          <w:shd w:val="clear" w:color="auto" w:fill="FFFFFF"/>
        </w:rPr>
        <w:t xml:space="preserve">二、主动公开政府信息情况</w:t>
      </w:r>
    </w:p>
    <w:tbl>
      <w:tblPr>
        <w:tblStyle w:val="TableNormal"/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06"/>
        <w:gridCol w:w="1710"/>
        <w:gridCol w:w="1710"/>
        <w:gridCol w:w="3096"/>
      </w:tblGrid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8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                                第二十条第(一)项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信息内容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leftChars="0" w:rightChars="0"/>
              <w:jc w:val="both"/>
              <w:textAlignment w:val="auto"/>
              <w:outlineLvl w:val="9"/>
            </w:pPr>
            <w:r>
              <w:t xml:space="preserve">本年制发件数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leftChars="0" w:rightChars="0"/>
              <w:jc w:val="both"/>
              <w:textAlignment w:val="auto"/>
              <w:outlineLvl w:val="9"/>
            </w:pPr>
            <w:r>
              <w:t xml:space="preserve">本年废止件数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both"/>
              <w:textAlignment w:val="auto"/>
              <w:outlineLvl w:val="9"/>
            </w:pPr>
            <w:r>
              <w:t xml:space="preserve">现行有效件数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规章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</w:pP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行政规范性文件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</w:pP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8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                                     第二十条第(五)项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信息内容</w:t>
            </w:r>
          </w:p>
        </w:tc>
        <w:tc>
          <w:tcPr>
            <w:tcW w:w="6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本年处理决定数量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行政许可</w:t>
            </w:r>
          </w:p>
        </w:tc>
        <w:tc>
          <w:tcPr>
            <w:tcW w:w="6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4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8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                                    第二十条第(六)项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信息内容</w:t>
            </w:r>
          </w:p>
        </w:tc>
        <w:tc>
          <w:tcPr>
            <w:tcW w:w="6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本年处理决定数量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行政处罚</w:t>
            </w:r>
          </w:p>
        </w:tc>
        <w:tc>
          <w:tcPr>
            <w:tcW w:w="6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行政强制</w:t>
            </w:r>
          </w:p>
        </w:tc>
        <w:tc>
          <w:tcPr>
            <w:tcW w:w="6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8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                                    第二十条第(八)项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信息内容</w:t>
            </w:r>
          </w:p>
        </w:tc>
        <w:tc>
          <w:tcPr>
            <w:tcW w:w="6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本年收费金额(单位:万元)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行政事业性收费</w:t>
            </w:r>
          </w:p>
        </w:tc>
        <w:tc>
          <w:tcPr>
            <w:tcW w:w="6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</w:tbl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 w:leftChars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iCs w:val="0"/>
          <w:caps w:val="0"/>
          <w:color w:val="414141"/>
          <w:spacing w:val="0"/>
          <w:sz w:val="24"/>
          <w:szCs w:val="24"/>
        </w:rPr>
      </w:pPr>
      <w:r>
        <w:rPr>
          <w:rStyle w:val="Strong"/>
          <w:rFonts w:ascii="微软雅黑" w:eastAsia="微软雅黑" w:hAnsi="微软雅黑" w:cs="微软雅黑" w:hint="eastAsia"/>
          <w:i w:val="0"/>
          <w:iCs w:val="0"/>
          <w:caps w:val="0"/>
          <w:color w:val="414141"/>
          <w:spacing w:val="0"/>
          <w:sz w:val="24"/>
          <w:szCs w:val="24"/>
          <w:shd w:val="clear" w:color="auto" w:fill="FFFFFF"/>
        </w:rPr>
        <w:t xml:space="preserve">三、收到和处理政府信息公开申请情况</w:t>
      </w:r>
    </w:p>
    <w:tbl>
      <w:tblPr>
        <w:tblStyle w:val="TableNormal"/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86"/>
        <w:gridCol w:w="812"/>
        <w:gridCol w:w="2671"/>
        <w:gridCol w:w="586"/>
        <w:gridCol w:w="586"/>
        <w:gridCol w:w="586"/>
        <w:gridCol w:w="586"/>
        <w:gridCol w:w="586"/>
        <w:gridCol w:w="611"/>
        <w:gridCol w:w="612"/>
      </w:tblGrid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41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(本列数据的勾稽关系为:第一项加第二项之和，等于第三项加第四项之和)</w:t>
            </w:r>
          </w:p>
        </w:tc>
        <w:tc>
          <w:tcPr>
            <w:tcW w:w="41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             申请人情况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41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自然人</w:t>
            </w:r>
          </w:p>
        </w:tc>
        <w:tc>
          <w:tcPr>
            <w:tcW w:w="29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       法人或其他组织</w:t>
            </w:r>
          </w:p>
        </w:tc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总计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41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商业</w:t>
            </w:r>
          </w:p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企业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科研</w:t>
            </w:r>
          </w:p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机构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社会公益组织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法律服务机构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其他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一、本年新收政府信息公开申请数量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二、上年结转政府信息公开申请数量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三、本年度办理结果</w:t>
            </w:r>
          </w:p>
        </w:tc>
        <w:tc>
          <w:tcPr>
            <w:tcW w:w="3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(一)予以公开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(二)部分公开(区分处理的，只计这一情形，不计其他情形)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(三)不予公开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1.属于国家秘密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2.其他法律行政法规禁止公开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3.危及“三安全一稳定”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4.保护第三方合法权益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5.属于三类内部事务信息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6.属于四类过程性信息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7.属于行政执法案卷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8.属于行政查询事项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(四)无法提供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1.本机关不掌握相关政府信息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2.没有现成信息需要另行制作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3.补正后申请内容仍不明确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(五)不予处理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1.信访举报投诉类申请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2.重复申请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3.要求提供公开出版物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4.无正当理由大量反复申请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5.要求行政机关确认或重新出具已获取信息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(六)其他处理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1.申请人无正当理由逾期不补正、行政机关不再处理其政府信息公开申请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both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2.申请人逾期未按收费通知要求缴纳费用、行政机关不再处理其政府信息公开申请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both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3.其他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both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(七)总计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both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  <w:jc w:val="center"/>
        </w:trPr>
        <w:tc>
          <w:tcPr>
            <w:tcW w:w="4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四、结转下年度继续办理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both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</w:tbl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 w:leftChars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iCs w:val="0"/>
          <w:caps w:val="0"/>
          <w:color w:val="414141"/>
          <w:spacing w:val="0"/>
          <w:sz w:val="24"/>
          <w:szCs w:val="24"/>
        </w:rPr>
      </w:pPr>
      <w:r>
        <w:rPr>
          <w:rStyle w:val="Strong"/>
          <w:rFonts w:ascii="微软雅黑" w:eastAsia="微软雅黑" w:hAnsi="微软雅黑" w:cs="微软雅黑" w:hint="eastAsia"/>
          <w:i w:val="0"/>
          <w:iCs w:val="0"/>
          <w:caps w:val="0"/>
          <w:color w:val="414141"/>
          <w:spacing w:val="0"/>
          <w:sz w:val="24"/>
          <w:szCs w:val="24"/>
          <w:shd w:val="clear" w:color="auto" w:fill="FFFFFF"/>
        </w:rPr>
        <w:t xml:space="preserve">四、政府信息公开行政复议、行政诉讼情况</w:t>
      </w:r>
    </w:p>
    <w:tbl>
      <w:tblPr>
        <w:tblStyle w:val="TableNormal"/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83"/>
        <w:gridCol w:w="562"/>
        <w:gridCol w:w="562"/>
        <w:gridCol w:w="563"/>
        <w:gridCol w:w="467"/>
        <w:gridCol w:w="552"/>
        <w:gridCol w:w="552"/>
        <w:gridCol w:w="552"/>
        <w:gridCol w:w="552"/>
        <w:gridCol w:w="563"/>
        <w:gridCol w:w="552"/>
        <w:gridCol w:w="552"/>
        <w:gridCol w:w="647"/>
        <w:gridCol w:w="525"/>
        <w:gridCol w:w="538"/>
      </w:tblGrid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2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    行政复议</w:t>
            </w:r>
          </w:p>
        </w:tc>
        <w:tc>
          <w:tcPr>
            <w:tcW w:w="55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                     行政诉讼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结果维持</w:t>
            </w:r>
          </w:p>
        </w:tc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结果纠正</w:t>
            </w:r>
          </w:p>
        </w:tc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其他结果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尚未审结</w:t>
            </w:r>
          </w:p>
        </w:tc>
        <w:tc>
          <w:tcPr>
            <w:tcW w:w="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总计</w:t>
            </w:r>
          </w:p>
        </w:tc>
        <w:tc>
          <w:tcPr>
            <w:tcW w:w="27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  未经复议直接起诉</w:t>
            </w:r>
          </w:p>
        </w:tc>
        <w:tc>
          <w:tcPr>
            <w:tcW w:w="28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 w:leftChars="0" w:rightChars="0"/>
              <w:jc w:val="left"/>
              <w:textAlignment w:val="auto"/>
              <w:outlineLvl w:val="9"/>
            </w:pPr>
            <w:r>
              <w:t xml:space="preserve">        复议后起诉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leftChars="0" w:rightChars="0"/>
              <w:textAlignment w:val="auto"/>
              <w:outlineLvl w:val="9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结果维持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结果纠正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其他结果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尚未审结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总计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结果维持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结果纠正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其他结果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 w:leftChars="0" w:rightChars="0"/>
              <w:jc w:val="left"/>
              <w:textAlignment w:val="auto"/>
              <w:outlineLvl w:val="9"/>
            </w:pPr>
            <w:r>
              <w:t xml:space="preserve">尚未审结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</w:pPr>
            <w:r>
              <w:t xml:space="preserve">总计</w:t>
            </w:r>
          </w:p>
        </w:tc>
      </w:tr>
      <w:tr>
        <w:tblPrEx>
          <w:tblW w:w="83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  <w:jc w:val="center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right="0" w:leftChars="0" w:rightChars="0"/>
              <w:jc w:val="left"/>
              <w:textAlignment w:val="auto"/>
              <w:outlineLvl w:val="9"/>
              <w:rPr>
                <w:rFonts w:eastAsia="宋体"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3" w:leftChars="0" w:rightChars="0" w:firstLineChars="200"/>
        <w:textAlignment w:val="auto"/>
        <w:outlineLvl w:val="9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leftChars="0" w:rightChars="0" w:firstLineChars="200"/>
        <w:textAlignment w:val="auto"/>
        <w:outlineLvl w:val="9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存在主要问题：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一是</w:t>
      </w:r>
      <w:r>
        <w:rPr>
          <w:rFonts w:ascii="仿宋" w:eastAsia="仿宋" w:hAnsi="仿宋" w:cs="仿宋" w:hint="eastAsia"/>
          <w:sz w:val="32"/>
          <w:szCs w:val="32"/>
        </w:rPr>
        <w:t xml:space="preserve">政务公开的内容、形式和渠道相对单一，有待拓宽，部分政府信息公开不全面、不系统的问题；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二是</w:t>
      </w:r>
      <w:r>
        <w:rPr>
          <w:rFonts w:ascii="仿宋" w:eastAsia="仿宋" w:hAnsi="仿宋" w:cs="仿宋" w:hint="eastAsia"/>
          <w:sz w:val="32"/>
          <w:szCs w:val="32"/>
        </w:rPr>
        <w:t xml:space="preserve">政府信息发布仍然缺乏一定规范，信息质量不高，信息公开审查把关不严；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三是</w:t>
      </w:r>
      <w:r>
        <w:rPr>
          <w:rFonts w:ascii="仿宋" w:eastAsia="仿宋" w:hAnsi="仿宋" w:cs="仿宋" w:hint="eastAsia"/>
          <w:sz w:val="32"/>
          <w:szCs w:val="32"/>
        </w:rPr>
        <w:t xml:space="preserve">队伍建设仍需强化。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leftChars="0" w:rightChars="0" w:firstLineChars="200"/>
        <w:textAlignment w:val="auto"/>
        <w:outlineLvl w:val="9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下一步改进措施：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一是</w:t>
      </w:r>
      <w:r>
        <w:rPr>
          <w:rFonts w:ascii="仿宋" w:eastAsia="仿宋" w:hAnsi="仿宋" w:cs="仿宋" w:hint="eastAsia"/>
          <w:sz w:val="32"/>
          <w:szCs w:val="32"/>
        </w:rPr>
        <w:t xml:space="preserve">加大公开力度。全面推行主动公开基本目录，加强目录动态更新调整，重点推进与人民群众生产、生活密切相关的政府信息公开，围绕资金、项目、政策、服务等方面，不断扩大信息公开范围，深化细化政府信息公开内容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二是</w:t>
      </w:r>
      <w:r>
        <w:rPr>
          <w:rFonts w:ascii="仿宋" w:eastAsia="仿宋" w:hAnsi="仿宋" w:cs="仿宋" w:hint="eastAsia"/>
          <w:sz w:val="32"/>
          <w:szCs w:val="32"/>
        </w:rPr>
        <w:t xml:space="preserve">推进制度规范。加强对政务公开政策学习和解读，制定配套的措施督促落实，进一步完善公开平台建设，推进政务公开制度化、标准化、信息化水平显著提升，增强公开实效。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三是</w:t>
      </w:r>
      <w:r>
        <w:rPr>
          <w:rFonts w:ascii="仿宋" w:eastAsia="仿宋" w:hAnsi="仿宋" w:cs="仿宋" w:hint="eastAsia"/>
          <w:sz w:val="32"/>
          <w:szCs w:val="32"/>
        </w:rPr>
        <w:t xml:space="preserve">加强队伍建设。强化政务公开工作人员配备，加强业务培训，明确工作职责，建立起各负其责、运转协调的长效机制。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3" w:leftChars="0" w:rightChars="0" w:firstLineChars="200"/>
        <w:textAlignment w:val="auto"/>
        <w:outlineLvl w:val="9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leftChars="0" w:rightChars="0" w:firstLineChars="200"/>
        <w:textAlignment w:val="auto"/>
        <w:outlineLvl w:val="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eastAsia="仿宋" w:hAnsi="仿宋" w:cs="仿宋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eastAsia="仿宋" w:hAnsi="仿宋" w:cs="仿宋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eastAsia="仿宋" w:hAnsi="仿宋" w:cs="仿宋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                 西宁市湟中区文体旅游局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                    2022年1月13日</w:t>
      </w:r>
    </w:p>
    <w:sectPr>
      <w:pgSz w:w="11906" w:h="16838" w:orient="portrait"/>
      <w:pgMar w:top="1587" w:right="2098" w:bottom="1474" w:left="1985" w:header="851" w:footer="992" w:gutter="0"/>
      <w:cols w:num="1" w:space="425">
        <w:col w:w="7823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Strong">
    <w:name w:val="Strong"/>
    <w:basedOn w:val="DefaultParagraphFont"/>
    <w:qFormat/>
    <w:rPr>
      <w:b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97327735B3434CE2BBCB997BA0B90083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97327735B3434CE2BBCB997BA0B90083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97327735B3434CE2BBCB997BA0B90083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97327735B3434CE2BBCB997BA0B90083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0</Characters>
  <Application>WPS Office_11.1.0.11294_F1E327BC-269C-435d-A152-05C5408002CA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黄娟</cp:lastModifiedBy>
  <cp:revision>1</cp:revision>
  <cp:lastPrinted>2022-01-17T01:58:00Z</cp:lastPrinted>
  <dcterms:created xsi:type="dcterms:W3CDTF">2014-10-29T12:08:00Z</dcterms:created>
  <dcterms:modified xsi:type="dcterms:W3CDTF">2022-01-19T07:01:27Z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97327735B3434CE2BBCB997BA0B90083</vt:lpstr>
  </property>
</Properties>
</file>