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大才回族乡人民政府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2021年度政府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信息公开工作年度报告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eastAsia="黑体" w:hAnsi="黑体" w:cs="黑体" w:hint="eastAsia"/>
          <w:color w:val="333333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  <w:t xml:space="preserve">一、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 xml:space="preserve">总体情况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2021年大才回族乡坚持以习近平新时代中国特色社会主义思想为指引，在区委、区政府的正确领导下，在区政府办的具体指导中，全面落实政务公开，推进决策、执行、管理、服务、结果公开，规范充实政务公开内容，提高服务水平，保障了公民、法人和其他组织依法获取政府信息的权利，提高了政府工作的透明度，促进了依法行政。现将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2021粘度我乡政务公开情况总结如下：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  <w:lang w:val="en-US" w:eastAsia="zh-CN"/>
        </w:rPr>
        <w:t xml:space="preserve">一是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将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大才回族乡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领导班子成员分管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业务内容、各科室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联系方式在政府公开栏公布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，并以红头文件形式下发至各村。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二是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将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生态环境、乡村振兴、养老服务、社会保障、劳动就业信息、社会治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安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等公示情况在政府公开栏公开。通过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微信平台、短信平台和政府公开栏等方式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，及时在发布和更新政务信息、通知公告等内容。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lang w:val="en-US" w:eastAsia="zh-CN"/>
        </w:rPr>
        <w:t xml:space="preserve">三是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管理和服务公开工作中，加大公开力度。着力加强建设法治政府、重点领域信息公开，确保相关信息能够及时面对公众公开。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2021年度主动公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开的147条政府信息中，其中机构职能、领导班子分工、内设机构职责进行调整，公共开相关信息2条，村级财务公开类信息4条。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lang w:val="en-US" w:eastAsia="zh-CN"/>
        </w:rPr>
        <w:t xml:space="preserve">四是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深化重点领域，提高高质量信息。公开安全生产应急管理类信息1条。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lang w:val="en-US" w:eastAsia="zh-CN"/>
        </w:rPr>
        <w:t xml:space="preserve">五是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认真做好重点领域信息公开，及时发布财政预决算、“三公”经费，重点民生及减税降费等信息，乡村振兴类信息16条，民政类信息92条，疫情防控类信息26条，劳动就业信息3条。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  <w:t xml:space="preserve">二、主动公开政府信息情况</w:t>
      </w:r>
    </w:p>
    <w:tbl>
      <w:tblPr>
        <w:tblStyle w:val="TableNormal"/>
        <w:tblW w:w="82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041"/>
        <w:gridCol w:w="1845"/>
        <w:gridCol w:w="1666"/>
        <w:gridCol w:w="1679"/>
      </w:tblGrid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8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第二十条第（一）项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制发件数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本年废止件数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现行有效件数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规章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行政规范性文件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第二十条第（五）项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本年处理决定数量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行政许可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第二十条第（六）项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本年处理决定数量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行政处罚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行政强制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第二十条第（八）项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本年收费金额（单位：万元）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行政事业性收费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/>
        <w:textAlignment w:val="auto"/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  <w:t xml:space="preserve">三、收到和处理政府信息公开申请情况</w:t>
      </w:r>
    </w:p>
    <w:tbl>
      <w:tblPr>
        <w:tblStyle w:val="TableNormal"/>
        <w:tblW w:w="81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16"/>
        <w:gridCol w:w="816"/>
        <w:gridCol w:w="2638"/>
        <w:gridCol w:w="399"/>
        <w:gridCol w:w="421"/>
        <w:gridCol w:w="551"/>
        <w:gridCol w:w="863"/>
        <w:gridCol w:w="820"/>
        <w:gridCol w:w="518"/>
        <w:gridCol w:w="481"/>
      </w:tblGrid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40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40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申请人情况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4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自然人</w:t>
            </w:r>
          </w:p>
        </w:tc>
        <w:tc>
          <w:tcPr>
            <w:tcW w:w="31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法人或其他组织</w:t>
            </w: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jc w:val="center"/>
        </w:trPr>
        <w:tc>
          <w:tcPr>
            <w:tcW w:w="4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商业企业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科研机构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社会公益组织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法律服务机构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</w:t>
            </w:r>
          </w:p>
        </w:tc>
        <w:tc>
          <w:tcPr>
            <w:tcW w:w="4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  <w:jc w:val="center"/>
        </w:trPr>
        <w:tc>
          <w:tcPr>
            <w:tcW w:w="40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一、本年新收政府信息公开申请数量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40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二、上年结转政府信息公开申请数量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三、本年度办理结果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（一）予以公开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（二）部分公开（区分处理的，只计这一情形，不计其他情形）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（三）不予公开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1.属于国家秘密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2.其他法律行政法规禁止公开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3.危及“三安全一稳定”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4.保护第三方合法权益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5.属于三类内部事务信息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6.属于四类过程性信息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7.属于行政执法案卷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8.属于行政查询事项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（四）无法提供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1.本机关不掌握相关政府信息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2.没有现成信息需要另行制作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3.补正后申请内容仍不明确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（五）不予处理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1.信访举报投诉类申请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2.重复申请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3.要求提供公开出版物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4.无正当理由大量反复申请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5.要求行政机关确认或重新出具已获取信息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（六）其他处理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1.申请人无正当理由逾期不补正、行政机关不再处理其政府信息公开申请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2.申请人逾期未按收费通知要求缴纳费用，行政机关不再处理其政府信息公开申请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3.其他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（七）总计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40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四、结转下年度继续办理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/>
        <w:textAlignment w:val="auto"/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  <w:t xml:space="preserve">四、政府信息公开行政复议、行政诉讼情况</w:t>
      </w:r>
    </w:p>
    <w:tbl>
      <w:tblPr>
        <w:tblStyle w:val="TableNormal"/>
        <w:tblW w:w="77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19"/>
        <w:gridCol w:w="516"/>
        <w:gridCol w:w="516"/>
        <w:gridCol w:w="516"/>
        <w:gridCol w:w="517"/>
        <w:gridCol w:w="518"/>
      </w:tblGrid>
      <w:tr>
        <w:tblPrEx>
          <w:tblW w:w="774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  <w:jc w:val="center"/>
        </w:trPr>
        <w:tc>
          <w:tcPr>
            <w:tcW w:w="26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行政复议</w:t>
            </w:r>
          </w:p>
        </w:tc>
        <w:tc>
          <w:tcPr>
            <w:tcW w:w="511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行政诉讼</w:t>
            </w:r>
          </w:p>
        </w:tc>
      </w:tr>
      <w:tr>
        <w:tblPrEx>
          <w:tblW w:w="774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2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未经复议直接起诉</w:t>
            </w:r>
          </w:p>
        </w:tc>
        <w:tc>
          <w:tcPr>
            <w:tcW w:w="25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复议后起诉</w:t>
            </w:r>
          </w:p>
        </w:tc>
      </w:tr>
      <w:tr>
        <w:tblPrEx>
          <w:tblW w:w="774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774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pStyle w:val="BodyTextFirstIndent"/>
        <w:ind w:left="0" w:firstLine="0" w:leftChars="0" w:firstLineChars="0"/>
      </w:pPr>
    </w:p>
    <w:p>
      <w:pPr>
        <w:pStyle w:val="BodyTextFirstIndent"/>
        <w:ind w:left="0" w:firstLine="640" w:leftChars="0" w:firstLineChars="200"/>
        <w:rPr>
          <w:rFonts w:ascii="黑体" w:eastAsia="黑体" w:hAnsi="黑体" w:cs="黑体" w:hint="eastAsia"/>
          <w:sz w:val="32"/>
          <w:szCs w:val="32"/>
        </w:rPr>
      </w:pPr>
    </w:p>
    <w:p>
      <w:pPr>
        <w:pStyle w:val="BodyTextFirstIndent"/>
        <w:ind w:left="0" w:firstLine="640" w:leftChars="0" w:firstLineChars="20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五、存在的主要问题及改进情况</w:t>
      </w:r>
    </w:p>
    <w:p>
      <w:pPr>
        <w:pStyle w:val="BodyTextFirstIndent"/>
        <w:ind w:left="0" w:firstLine="640" w:leftChars="0" w:firstLineChars="20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2021年，通过乡全体干部的共同努力，我乡政府信息公开工作有了新的进展，但也存在一些不足：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政府信息公开意识不强，公开时效性、公开内容质量有待加强。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政府信息公开形式单一，有待进一步加强宣传推广。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政务公开培训力度不够，政府信息公开整体工作水平仍需提升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。</w:t>
      </w:r>
    </w:p>
    <w:p>
      <w:pPr>
        <w:pStyle w:val="BodyTextFirstIndent"/>
        <w:ind w:left="0" w:firstLine="640" w:leftChars="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今后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的工作中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，我乡将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进一步充实信息公开内容，突出重点、热点和难点问题，把群众最关心、反应最强烈的事项作为政府信息公开的主要内容，切实发挥好信息公开平台的桥梁作用。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 xml:space="preserve">一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以《中华人民共和国政府信息公开条例》落实为抓手，进一步探索拓宽政府信息公开渠道，加大宣传和推介力度，积极利用信息化手段，丰富政府信息服务渠道。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 xml:space="preserve">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加大培训、宣传力度，乡全体干部要加强《条例》的学习和培训，规范依法办理申请公开政府信息的水平，开展多种形式的宣传活动，创造条件。</w:t>
      </w:r>
    </w:p>
    <w:p>
      <w:pPr>
        <w:pStyle w:val="BodyTextFirstIndent"/>
        <w:ind w:left="0" w:firstLine="640" w:leftChars="0" w:firstLineChars="20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六、其他需要报告的事项</w:t>
      </w:r>
    </w:p>
    <w:p>
      <w:pPr>
        <w:pStyle w:val="BodyTextFirstIndent"/>
        <w:ind w:left="0" w:firstLine="640" w:leftChars="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2021年我乡不存在其他需要报告事项。</w:t>
      </w:r>
    </w:p>
    <w:p>
      <w:pPr>
        <w:pStyle w:val="BodyTextFirstIndent"/>
        <w:ind w:left="0" w:firstLine="640" w:leftChars="0" w:firstLineChars="20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pStyle w:val="BodyTextFirstIndent"/>
        <w:ind w:left="0" w:firstLine="640" w:leftChars="0" w:firstLineChars="20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pStyle w:val="BodyTextFirstIndent"/>
        <w:ind w:left="0" w:firstLine="4800" w:leftChars="0" w:firstLineChars="150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大才回族乡人民政府</w:t>
      </w:r>
    </w:p>
    <w:p>
      <w:pPr>
        <w:pStyle w:val="BodyTextFirstIndent"/>
        <w:ind w:left="0" w:firstLine="5120" w:leftChars="0" w:firstLineChars="1600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2022年1月18日</w:t>
      </w:r>
    </w:p>
    <w:p>
      <w:pPr>
        <w:pStyle w:val="BodyTextFirstIndent"/>
        <w:ind w:left="0" w:firstLine="640" w:leftChars="0" w:firstLineChars="20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pStyle w:val="BodyTextFirstIndent"/>
      </w:pPr>
    </w:p>
    <w:sectPr>
      <w:pgSz w:w="11906" w:h="16838" w:orient="portrait"/>
      <w:pgMar w:top="1157" w:right="1800" w:bottom="1043" w:left="1800" w:header="851" w:footer="992" w:gutter="0"/>
      <w:cols w:num="1" w:space="0">
        <w:col w:w="8306"/>
      </w:cols>
      <w:rtlGutter w:val="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10"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Calibri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qFormat/>
    <w:pPr>
      <w:ind w:firstLine="420" w:firstLineChars="100"/>
    </w:pPr>
    <w:rPr>
      <w:rFonts w:ascii="Calibri" w:eastAsia="宋体" w:hAnsi="Calibri" w:cs="Times New Roman"/>
      <w:szCs w:val="22"/>
    </w:rPr>
  </w:style>
  <w:style w:type="paragraph" w:styleId="BodyText">
    <w:name w:val="Body Text"/>
    <w:basedOn w:val="Normal"/>
    <w:qFormat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BodyTextIndent">
    <w:name w:val="Body Text Indent"/>
    <w:basedOn w:val="Normal"/>
    <w:qFormat/>
    <w:pPr>
      <w:spacing w:after="120"/>
      <w:ind w:left="420" w:leftChars="200"/>
    </w:pPr>
    <w:rPr>
      <w:rFonts w:eastAsia="宋体"/>
      <w:sz w:val="21"/>
      <w:szCs w:val="24"/>
    </w:rPr>
  </w:style>
  <w:style w:type="paragraph" w:styleId="Normal(Web)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CE8191F0866242E09E1BE181C2E5BC0E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CE8191F0866242E09E1BE181C2E5BC0E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CE8191F0866242E09E1BE181C2E5BC0E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CE8191F0866242E09E1BE181C2E5BC0E</vt:lpwstr>
  </property>
</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0</Words>
  <Characters>0</Characters>
  <Application>WPS Office_11.1.0.11294_F1E327BC-269C-435d-A152-05C5408002CA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黄娟</cp:lastModifiedBy>
  <cp:revision>1</cp:revision>
  <cp:lastPrinted>2022-01-18T02:17:00Z</cp:lastPrinted>
  <dcterms:created xsi:type="dcterms:W3CDTF">2022-01-17T07:46:00Z</dcterms:created>
  <dcterms:modified xsi:type="dcterms:W3CDTF">2022-01-19T06:09:00Z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CE8191F0866242E09E1BE181C2E5BC0E</vt:lpstr>
  </property>
</Properties>
</file>