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共和镇政府信息公开工作年度报告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单位名称：共和镇人民政府      单位主要负责人签名：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2022年，共和镇进一步贯彻落实政府信息公开各项规定，加强政府信息公开工作力度，及时、准确地向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社会公开政府信息，保障公民知情权、参与权和监督权，把推进政府信息公开与转变政府职能、规范权力运行、促进依法行政紧密结合起来，有力促进了全镇经济、社会健康平稳发展。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（一）主动公开情况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依据《条例》第20条、第21条规定，以公开为原则不公开为例外公示我镇的各类政府信息。除有特别要求，有公开范围的各类文件外，对于脱贫退出、干部考核、社会保障等通过公示栏、微信群、网站等形式进行公开，确保干部群众的知情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2022年我镇未收到依申请公开申请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镇高度重视政府信息公开工作，成立了由镇长、镇党委副书记和包村领导组成的信息公开工作领导小组，各村书记负责30个行政村信息公开工作，各包村干部协助，由党政办具体落实，确定了1名工作人员具体负责，组织协调、督促指导、检查考核全镇政府信息公开工作开展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（四）平台建设情况，包括政府网站、政务新媒体、政府公报等方面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我镇未开设政府网站，未发行政府公报。为方便办事群众和群众监督，我镇运用政务公示栏、宣传栏、宣传车、各村（社）党员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会议和微信群、QQ群等多种方式进行政府政务信息公开。切实保障人民群众的知情权、参与权和监督权。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加大对政务公开工作的督查力度。组织专门人员对政府信息公开相关工作开展情况进行检查。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完善信息公开保密审查制度。按照“谁提供、谁审核、谁负责”的原则审核后公开。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实行信息公开考核制度。按照分级负责、加强协作、促进工作的原则，从组织领导、公开内容、公开重点、公开形式、公开制度、公开效果等方面进行考核。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主动公开政府信息情况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130"/>
        <w:gridCol w:w="2265"/>
        <w:gridCol w:w="1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本年</w:t>
            </w: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制发件数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本年</w:t>
            </w: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废止件数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both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800" w:firstLineChars="4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1000" w:firstLineChars="5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800" w:firstLineChars="4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both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规范性文件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800" w:firstLineChars="4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1000" w:firstLineChars="5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800" w:firstLineChars="4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本年</w:t>
            </w: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6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2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88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50"/>
        <w:gridCol w:w="2077"/>
        <w:gridCol w:w="856"/>
        <w:gridCol w:w="756"/>
        <w:gridCol w:w="756"/>
        <w:gridCol w:w="756"/>
        <w:gridCol w:w="756"/>
        <w:gridCol w:w="756"/>
        <w:gridCol w:w="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49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人</w:t>
            </w:r>
          </w:p>
        </w:tc>
        <w:tc>
          <w:tcPr>
            <w:tcW w:w="37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业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业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研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构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社会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公益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组织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法律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服务</w:t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他</w:t>
            </w:r>
          </w:p>
        </w:tc>
        <w:tc>
          <w:tcPr>
            <w:tcW w:w="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三、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办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eastAsia="zh-CN"/>
              </w:rPr>
              <w:t>果</w:t>
            </w:r>
          </w:p>
        </w:tc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（三）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不予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公开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1.属于国家秘密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2.其他法律行政法规禁止公开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3.危及“三安全一稳定”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4.保护第三方合法权益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5.属于三类内部事务信息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6.属于四类过程性信息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7.属于行政执法案卷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8.属于行政查询事项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（四）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无法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提供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1.本机关不掌握相关政府信息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2.没有现成信息需要另行制作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3.补正后申请内容仍不明确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（五）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不予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处理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1.信访举报投诉类申请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2.重复申请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3.要求提供公开出版物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4.无正当理由大量反复申请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处理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1.申请人无正当理由逾期不补正、行政机关不在处理其政府信息公开申请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2.申请人逾期未按收费通知要求缴纳费用，行政机关不在处理其政府信息公开申请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3.其他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  <w:lang w:val="en-US" w:eastAsia="zh-CN"/>
              </w:rPr>
            </w:pPr>
            <w:r>
              <w:rPr>
                <w:rFonts w:hint="eastAsia" w:ascii="仿宋" w:hAnsi="仿宋" w:cs="仿宋"/>
                <w:sz w:val="20"/>
                <w:szCs w:val="20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2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8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567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持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正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计</w:t>
            </w:r>
          </w:p>
        </w:tc>
        <w:tc>
          <w:tcPr>
            <w:tcW w:w="28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6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持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正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计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持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正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果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结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2022年，我镇政府信息公开工作虽然取得一定成效，但还存在以下问题：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推动政务公开和政府信息公开的力度不够，对政府信息公开工作重要性认识不足，公开内容不具体，重点不突出，政务公开事项还需认真梳理公布；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网上信息更新不够及时；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网站管理相对薄弱，人员力量有待加强。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公开范围有待进一步拓展，公开渠道有待进一步创新。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改进措施: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拓宽信息公开渠道。努力建设面向公众、方便获取、形式多样的政府信息公开载体和信息系统，扩展公开渠道。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加强检査监督力度。安排专人查找政府信息公开的薄弱环节，以行政审批和行政执法的程序和结果为重点，督促不断拓展政府信息公开的深度和广度，不断提高政府工作的透明度。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加大政府公共职能信息公开力度，增强政府信息发布主动性、权威性和时效性。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自觉接受社会监督，让人民群众对政府信息公开情况进行评议，并根据评议结果完善制度、改进工作。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无。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BD4A5"/>
    <w:multiLevelType w:val="singleLevel"/>
    <w:tmpl w:val="52EBD4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kxN2RiMWYwZmE0MThlZDg1ZGRlY2YzNGQzNzMifQ=="/>
  </w:docVars>
  <w:rsids>
    <w:rsidRoot w:val="40A461DF"/>
    <w:rsid w:val="00FD49CE"/>
    <w:rsid w:val="02B84844"/>
    <w:rsid w:val="06642CB3"/>
    <w:rsid w:val="06847B21"/>
    <w:rsid w:val="09B038E2"/>
    <w:rsid w:val="0A9F2ABE"/>
    <w:rsid w:val="0C082346"/>
    <w:rsid w:val="0CD202C6"/>
    <w:rsid w:val="0CF1116A"/>
    <w:rsid w:val="0D0035C0"/>
    <w:rsid w:val="0FDD7278"/>
    <w:rsid w:val="11014C85"/>
    <w:rsid w:val="12A245CE"/>
    <w:rsid w:val="139107C2"/>
    <w:rsid w:val="161B6805"/>
    <w:rsid w:val="184A0BD3"/>
    <w:rsid w:val="19705785"/>
    <w:rsid w:val="1BB90BC8"/>
    <w:rsid w:val="1CAC3498"/>
    <w:rsid w:val="1D6500BB"/>
    <w:rsid w:val="1E0A7BEC"/>
    <w:rsid w:val="1E445C7F"/>
    <w:rsid w:val="1FDE1C78"/>
    <w:rsid w:val="20932A0F"/>
    <w:rsid w:val="20CC4F68"/>
    <w:rsid w:val="21344C7E"/>
    <w:rsid w:val="24C84DC2"/>
    <w:rsid w:val="2891465D"/>
    <w:rsid w:val="29993A13"/>
    <w:rsid w:val="2F625C7E"/>
    <w:rsid w:val="336566C9"/>
    <w:rsid w:val="39E92614"/>
    <w:rsid w:val="3D3830BB"/>
    <w:rsid w:val="3D383C8E"/>
    <w:rsid w:val="3D761FB5"/>
    <w:rsid w:val="3FAD59A1"/>
    <w:rsid w:val="40A461DF"/>
    <w:rsid w:val="41354334"/>
    <w:rsid w:val="41886DF6"/>
    <w:rsid w:val="4BA10DBB"/>
    <w:rsid w:val="4C3E37A3"/>
    <w:rsid w:val="4CC5193D"/>
    <w:rsid w:val="4D842D4C"/>
    <w:rsid w:val="4E262367"/>
    <w:rsid w:val="50FC3E44"/>
    <w:rsid w:val="528F5E6A"/>
    <w:rsid w:val="551F2959"/>
    <w:rsid w:val="57FF69B1"/>
    <w:rsid w:val="58CB2588"/>
    <w:rsid w:val="63591019"/>
    <w:rsid w:val="648871BE"/>
    <w:rsid w:val="695C568E"/>
    <w:rsid w:val="74936A13"/>
    <w:rsid w:val="77B959B8"/>
    <w:rsid w:val="794F0C5A"/>
    <w:rsid w:val="7F6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600" w:lineRule="exact"/>
      <w:outlineLvl w:val="0"/>
    </w:pPr>
    <w:rPr>
      <w:rFonts w:eastAsia="方正小标宋简体" w:asciiTheme="minorAscii" w:hAnsiTheme="minorAscii" w:cstheme="minorBidi"/>
      <w:b/>
      <w:bCs/>
      <w:kern w:val="44"/>
      <w:sz w:val="52"/>
      <w:szCs w:val="44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ind w:firstLine="840" w:firstLine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eastAsia="楷体" w:cs="Times New Roman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仿宋"/>
      <w:kern w:val="0"/>
      <w:sz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楷体" w:cs="Times New Roman"/>
      <w:b/>
    </w:rPr>
  </w:style>
  <w:style w:type="character" w:customStyle="1" w:styleId="10">
    <w:name w:val="标题 2 Char"/>
    <w:link w:val="2"/>
    <w:qFormat/>
    <w:uiPriority w:val="0"/>
    <w:rPr>
      <w:rFonts w:ascii="Arial" w:hAnsi="Arial" w:eastAsia="楷体" w:cs="Times New Roman"/>
      <w:b/>
      <w:sz w:val="32"/>
    </w:rPr>
  </w:style>
  <w:style w:type="character" w:customStyle="1" w:styleId="11">
    <w:name w:val="标题 1 Char"/>
    <w:basedOn w:val="7"/>
    <w:link w:val="3"/>
    <w:qFormat/>
    <w:uiPriority w:val="9"/>
    <w:rPr>
      <w:rFonts w:eastAsia="方正小标宋简体" w:asciiTheme="minorAscii" w:hAnsiTheme="minorAscii" w:cstheme="minorBidi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3335</Words>
  <Characters>3383</Characters>
  <Lines>0</Lines>
  <Paragraphs>0</Paragraphs>
  <TotalTime>34</TotalTime>
  <ScaleCrop>false</ScaleCrop>
  <LinksUpToDate>false</LinksUpToDate>
  <CharactersWithSpaces>3397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2023-01-18T03:17:00Z</dcterms:created>
  <dc:creator>╭ゝ旧时光</dc:creator>
  <cp:lastModifiedBy>╭ゝ旧时光</cp:lastModifiedBy>
  <dcterms:modified xsi:type="dcterms:W3CDTF">2023-01-18T07:39:00Z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122F7C411AE54438B73D53DE1AF9F30F</vt:lpwstr>
  </property>
</Properties>
</file>