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76" w:lineRule="exact"/>
        <w:ind w:left="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2024年湟中区黄河流域(湟水河湟中段)固体</w:t>
      </w:r>
    </w:p>
    <w:p>
      <w:pPr>
        <w:keepNext w:val="0"/>
        <w:keepLines w:val="0"/>
        <w:pageBreakBefore w:val="0"/>
        <w:widowControl w:val="0"/>
        <w:kinsoku/>
        <w:wordWrap/>
        <w:overflowPunct/>
        <w:topLinePunct w:val="0"/>
        <w:bidi w:val="0"/>
        <w:snapToGrid/>
        <w:spacing w:line="576" w:lineRule="exact"/>
        <w:ind w:left="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废弃物倾倒排查整治工作方案</w:t>
      </w:r>
    </w:p>
    <w:bookmarkEnd w:id="0"/>
    <w:p>
      <w:pPr>
        <w:keepNext w:val="0"/>
        <w:keepLines w:val="0"/>
        <w:pageBreakBefore w:val="0"/>
        <w:widowControl w:val="0"/>
        <w:kinsoku/>
        <w:wordWrap/>
        <w:overflowPunct/>
        <w:topLinePunct w:val="0"/>
        <w:bidi w:val="0"/>
        <w:snapToGrid/>
        <w:spacing w:line="576" w:lineRule="exact"/>
        <w:ind w:left="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ahoma" w:eastAsia="仿宋_GB2312" w:cs="Tahoma"/>
          <w:color w:val="auto"/>
          <w:kern w:val="2"/>
          <w:sz w:val="32"/>
          <w:szCs w:val="32"/>
          <w:shd w:val="clear" w:color="auto" w:fill="FFFFFF"/>
          <w:lang w:val="en-US" w:eastAsia="zh-CN" w:bidi="ar-SA"/>
        </w:rPr>
      </w:pPr>
      <w:r>
        <w:rPr>
          <w:rFonts w:hint="eastAsia" w:ascii="仿宋_GB2312" w:hAnsi="Tahoma" w:eastAsia="仿宋_GB2312" w:cs="Tahoma"/>
          <w:color w:val="auto"/>
          <w:kern w:val="2"/>
          <w:sz w:val="32"/>
          <w:szCs w:val="32"/>
          <w:shd w:val="clear" w:color="auto" w:fill="FFFFFF"/>
          <w:lang w:val="en-US" w:eastAsia="zh-CN" w:bidi="ar-SA"/>
        </w:rPr>
        <w:t>为进一步做好全区黄河流域固体废弃物倾倒排查整治工作，根据生态环境部办公厅《关于深入开展2023-2024年黄河流域固体废物倾倒排查整治工作的通知》（环办执法函〔2023〕140号）要求，结合前期排查结果及我区实际，制定本方案。</w:t>
      </w:r>
    </w:p>
    <w:p>
      <w:pPr>
        <w:pStyle w:val="2"/>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黑体" w:hAnsi="黑体" w:eastAsia="黑体" w:cs="黑体"/>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一、整治对象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Tahoma" w:eastAsia="仿宋_GB2312" w:cs="Tahoma"/>
          <w:color w:val="auto"/>
          <w:kern w:val="2"/>
          <w:sz w:val="32"/>
          <w:szCs w:val="32"/>
          <w:shd w:val="clear" w:color="auto" w:fill="FFFFFF"/>
          <w:lang w:val="en-US" w:eastAsia="zh-CN" w:bidi="ar-SA"/>
        </w:rPr>
        <w:t>生态环境部反馈至我区的</w:t>
      </w:r>
      <w:r>
        <w:rPr>
          <w:rFonts w:hint="eastAsia" w:ascii="仿宋_GB2312" w:hAnsi="仿宋_GB2312" w:eastAsia="仿宋_GB2312" w:cs="仿宋_GB2312"/>
          <w:sz w:val="32"/>
          <w:szCs w:val="32"/>
          <w:lang w:eastAsia="zh-CN"/>
        </w:rPr>
        <w:t>交办清单共</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疑似问题，经前期逐一排查，</w:t>
      </w:r>
      <w:r>
        <w:rPr>
          <w:rFonts w:hint="eastAsia" w:ascii="仿宋_GB2312" w:hAnsi="仿宋_GB2312" w:eastAsia="仿宋_GB2312" w:cs="仿宋_GB2312"/>
          <w:sz w:val="32"/>
          <w:szCs w:val="32"/>
          <w:lang w:val="en-US" w:eastAsia="zh-CN"/>
        </w:rPr>
        <w:t>6个</w:t>
      </w:r>
      <w:r>
        <w:rPr>
          <w:rFonts w:hint="eastAsia" w:ascii="仿宋_GB2312" w:hAnsi="仿宋_GB2312" w:eastAsia="仿宋_GB2312" w:cs="仿宋_GB2312"/>
          <w:sz w:val="32"/>
          <w:szCs w:val="32"/>
          <w:lang w:eastAsia="zh-CN"/>
        </w:rPr>
        <w:t>疑似问题</w:t>
      </w:r>
      <w:r>
        <w:rPr>
          <w:rFonts w:hint="eastAsia" w:ascii="仿宋_GB2312" w:hAnsi="仿宋_GB2312" w:eastAsia="仿宋_GB2312" w:cs="仿宋_GB2312"/>
          <w:sz w:val="32"/>
          <w:szCs w:val="32"/>
          <w:lang w:val="en-US" w:eastAsia="zh-CN"/>
        </w:rPr>
        <w:t>属我区管辖范围，1个</w:t>
      </w:r>
      <w:r>
        <w:rPr>
          <w:rFonts w:hint="eastAsia" w:ascii="仿宋_GB2312" w:hAnsi="仿宋_GB2312" w:eastAsia="仿宋_GB2312" w:cs="仿宋_GB2312"/>
          <w:sz w:val="32"/>
          <w:szCs w:val="32"/>
          <w:lang w:eastAsia="zh-CN"/>
        </w:rPr>
        <w:t>疑似问题位于</w:t>
      </w:r>
      <w:r>
        <w:rPr>
          <w:rFonts w:hint="eastAsia" w:ascii="仿宋_GB2312" w:hAnsi="仿宋_GB2312" w:eastAsia="仿宋_GB2312" w:cs="仿宋_GB2312"/>
          <w:sz w:val="32"/>
          <w:szCs w:val="32"/>
          <w:lang w:val="en-US" w:eastAsia="zh-CN"/>
        </w:rPr>
        <w:t>甘河工业园区管委会</w:t>
      </w:r>
      <w:r>
        <w:rPr>
          <w:rFonts w:hint="eastAsia" w:ascii="仿宋_GB2312" w:hAnsi="仿宋_GB2312" w:eastAsia="仿宋_GB2312" w:cs="仿宋_GB2312"/>
          <w:sz w:val="32"/>
          <w:szCs w:val="32"/>
        </w:rPr>
        <w:t>管辖区域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以上点位均属立查立改类。</w:t>
      </w:r>
      <w:r>
        <w:rPr>
          <w:rFonts w:hint="eastAsia" w:ascii="仿宋_GB2312" w:hAnsi="仿宋_GB2312" w:eastAsia="仿宋_GB2312" w:cs="仿宋_GB2312"/>
          <w:color w:val="auto"/>
          <w:sz w:val="32"/>
          <w:szCs w:val="32"/>
          <w:lang w:eastAsia="zh-CN"/>
        </w:rPr>
        <w:t>详见附表。</w:t>
      </w:r>
    </w:p>
    <w:p>
      <w:pPr>
        <w:pStyle w:val="2"/>
        <w:keepNext w:val="0"/>
        <w:keepLines w:val="0"/>
        <w:pageBreakBefore w:val="0"/>
        <w:widowControl w:val="0"/>
        <w:kinsoku/>
        <w:wordWrap/>
        <w:overflowPunct/>
        <w:topLinePunct w:val="0"/>
        <w:bidi w:val="0"/>
        <w:snapToGrid/>
        <w:spacing w:line="576" w:lineRule="exact"/>
        <w:textAlignment w:val="auto"/>
        <w:rPr>
          <w:rFonts w:hint="default" w:hAnsi="Calibri" w:eastAsia="仿宋_GB2312" w:cs="Times New Roman"/>
          <w:color w:val="auto"/>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kern w:val="2"/>
          <w:sz w:val="32"/>
          <w:szCs w:val="32"/>
          <w:shd w:val="clear" w:color="auto" w:fill="FFFFFF"/>
          <w:lang w:val="en-US" w:eastAsia="zh-CN" w:bidi="ar-SA"/>
        </w:rPr>
        <w:t xml:space="preserve"> 二、整治内容和时间节点</w:t>
      </w:r>
    </w:p>
    <w:p>
      <w:pPr>
        <w:pStyle w:val="2"/>
        <w:keepNext w:val="0"/>
        <w:keepLines w:val="0"/>
        <w:pageBreakBefore w:val="0"/>
        <w:widowControl w:val="0"/>
        <w:kinsoku/>
        <w:wordWrap/>
        <w:overflowPunct/>
        <w:topLinePunct w:val="0"/>
        <w:bidi w:val="0"/>
        <w:snapToGrid/>
        <w:spacing w:line="576" w:lineRule="exact"/>
        <w:ind w:left="0" w:firstLine="64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（一）点位整治要求</w:t>
      </w:r>
    </w:p>
    <w:p>
      <w:pPr>
        <w:pStyle w:val="2"/>
        <w:keepNext w:val="0"/>
        <w:keepLines w:val="0"/>
        <w:pageBreakBefore w:val="0"/>
        <w:widowControl w:val="0"/>
        <w:kinsoku/>
        <w:wordWrap/>
        <w:overflowPunct/>
        <w:topLinePunct w:val="0"/>
        <w:bidi w:val="0"/>
        <w:snapToGrid/>
        <w:spacing w:line="576" w:lineRule="exact"/>
        <w:ind w:left="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1.对固体废物不存在或堆存物已清除的点位，将该问题从清单内剔除。</w:t>
      </w:r>
    </w:p>
    <w:p>
      <w:pPr>
        <w:pStyle w:val="2"/>
        <w:keepNext w:val="0"/>
        <w:keepLines w:val="0"/>
        <w:pageBreakBefore w:val="0"/>
        <w:widowControl w:val="0"/>
        <w:kinsoku/>
        <w:wordWrap/>
        <w:overflowPunct/>
        <w:topLinePunct w:val="0"/>
        <w:bidi w:val="0"/>
        <w:snapToGrid/>
        <w:spacing w:line="576" w:lineRule="exact"/>
        <w:ind w:left="0"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：区生态环境局</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2.各乡镇按我区</w:t>
      </w:r>
      <w:r>
        <w:rPr>
          <w:rFonts w:hint="eastAsia" w:ascii="仿宋_GB2312" w:hAnsi="仿宋_GB2312" w:eastAsia="仿宋_GB2312" w:cs="仿宋_GB2312"/>
          <w:b w:val="0"/>
          <w:bCs w:val="0"/>
          <w:color w:val="auto"/>
          <w:sz w:val="32"/>
          <w:szCs w:val="32"/>
          <w:lang w:val="en-US" w:eastAsia="zh-CN"/>
        </w:rPr>
        <w:t>“清废行动”疑似问题任务清单</w:t>
      </w:r>
      <w:r>
        <w:rPr>
          <w:rFonts w:hint="eastAsia" w:ascii="仿宋_GB2312" w:hAnsi="仿宋_GB2312" w:eastAsia="仿宋_GB2312" w:cs="仿宋_GB2312"/>
          <w:color w:val="auto"/>
          <w:sz w:val="32"/>
          <w:szCs w:val="32"/>
          <w:lang w:val="en-US" w:eastAsia="zh-CN"/>
        </w:rPr>
        <w:t>，再次进行现场核实，及时</w:t>
      </w:r>
      <w:r>
        <w:rPr>
          <w:rFonts w:hint="eastAsia" w:ascii="仿宋_GB2312" w:hAnsi="仿宋_GB2312" w:eastAsia="仿宋_GB2312" w:cs="仿宋_GB2312"/>
          <w:b w:val="0"/>
          <w:bCs w:val="0"/>
          <w:color w:val="auto"/>
          <w:sz w:val="32"/>
          <w:szCs w:val="32"/>
          <w:lang w:val="en-US" w:eastAsia="zh-CN"/>
        </w:rPr>
        <w:t>追溯固体废物来源，</w:t>
      </w:r>
      <w:r>
        <w:rPr>
          <w:rFonts w:hint="eastAsia" w:ascii="仿宋_GB2312" w:hAnsi="仿宋_GB2312" w:eastAsia="仿宋_GB2312" w:cs="仿宋_GB2312"/>
          <w:color w:val="auto"/>
          <w:sz w:val="32"/>
          <w:szCs w:val="32"/>
          <w:lang w:val="en-US" w:eastAsia="zh-CN"/>
        </w:rPr>
        <w:t>制定清理整治工作方案，明确整改时限，</w:t>
      </w:r>
      <w:r>
        <w:rPr>
          <w:rFonts w:hint="eastAsia" w:ascii="仿宋_GB2312" w:hAnsi="仿宋_GB2312" w:eastAsia="仿宋_GB2312" w:cs="仿宋_GB2312"/>
          <w:b w:val="0"/>
          <w:bCs w:val="0"/>
          <w:color w:val="auto"/>
          <w:sz w:val="32"/>
          <w:szCs w:val="32"/>
          <w:lang w:val="en-US" w:eastAsia="zh-CN"/>
        </w:rPr>
        <w:t>做好整改工作“事前、事中、事后”的图片资料收集及台账记录工作，并将整改资料报至区生态环境局。各乡镇确保“清废行动”APP账号专人使用，及时完成“清废行动” APP 资料填写、上报等工作。对于</w:t>
      </w:r>
      <w:r>
        <w:rPr>
          <w:rFonts w:hint="eastAsia" w:ascii="仿宋_GB2312" w:hAnsi="仿宋_GB2312" w:eastAsia="仿宋_GB2312" w:cs="仿宋_GB2312"/>
          <w:color w:val="auto"/>
          <w:sz w:val="32"/>
          <w:szCs w:val="32"/>
          <w:lang w:val="en-US" w:eastAsia="zh-CN"/>
        </w:rPr>
        <w:t>立查立改类问题，8月30日前完成整改；2024年11月底前全面完成所有交办问题整改工作。</w:t>
      </w:r>
    </w:p>
    <w:p>
      <w:pPr>
        <w:pStyle w:val="2"/>
        <w:keepNext w:val="0"/>
        <w:keepLines w:val="0"/>
        <w:pageBreakBefore w:val="0"/>
        <w:widowControl w:val="0"/>
        <w:numPr>
          <w:ilvl w:val="0"/>
          <w:numId w:val="0"/>
        </w:numPr>
        <w:kinsoku/>
        <w:wordWrap/>
        <w:overflowPunct/>
        <w:topLinePunct w:val="0"/>
        <w:bidi w:val="0"/>
        <w:snapToGrid/>
        <w:spacing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多巴镇、李家山镇、甘河滩镇、拦隆口镇</w:t>
      </w:r>
    </w:p>
    <w:p>
      <w:pPr>
        <w:pStyle w:val="2"/>
        <w:keepNext w:val="0"/>
        <w:keepLines w:val="0"/>
        <w:pageBreakBefore w:val="0"/>
        <w:widowControl w:val="0"/>
        <w:kinsoku/>
        <w:wordWrap/>
        <w:overflowPunct/>
        <w:topLinePunct w:val="0"/>
        <w:bidi w:val="0"/>
        <w:snapToGrid/>
        <w:spacing w:line="576" w:lineRule="exact"/>
        <w:ind w:left="0" w:firstLine="64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（二）及时开展“回头看”</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2024年9-11月底，区生态环境局对我区整改点位开展“回头看”，持续巩固整改效果，及时将排查整治工作情况总结及“回头看”工作情况总结报送至西宁市生态环境局。</w:t>
      </w:r>
    </w:p>
    <w:p>
      <w:pPr>
        <w:pStyle w:val="2"/>
        <w:keepNext w:val="0"/>
        <w:keepLines w:val="0"/>
        <w:pageBreakBefore w:val="0"/>
        <w:widowControl w:val="0"/>
        <w:numPr>
          <w:ilvl w:val="0"/>
          <w:numId w:val="0"/>
        </w:numPr>
        <w:kinsoku/>
        <w:wordWrap/>
        <w:overflowPunct/>
        <w:topLinePunct w:val="0"/>
        <w:bidi w:val="0"/>
        <w:snapToGrid/>
        <w:spacing w:line="576"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color w:val="auto"/>
          <w:sz w:val="32"/>
          <w:szCs w:val="32"/>
          <w:lang w:val="en-US" w:eastAsia="zh-CN"/>
        </w:rPr>
        <w:t>区生态环境局</w:t>
      </w:r>
    </w:p>
    <w:p>
      <w:pPr>
        <w:pStyle w:val="2"/>
        <w:keepNext w:val="0"/>
        <w:keepLines w:val="0"/>
        <w:pageBreakBefore w:val="0"/>
        <w:widowControl w:val="0"/>
        <w:numPr>
          <w:ilvl w:val="0"/>
          <w:numId w:val="1"/>
        </w:numPr>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强化信息公开和报送</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各相关单位每月20日前将整治工作进展情况报区生态环境局，区生态环境局及时汇总上报至区政府和西宁市生态环境局并在区政府网站进行公示公开。</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黑体" w:hAnsi="黑体" w:eastAsia="黑体" w:cs="黑体"/>
          <w:color w:val="auto"/>
          <w:kern w:val="2"/>
          <w:sz w:val="32"/>
          <w:szCs w:val="32"/>
          <w:shd w:val="clear" w:color="auto" w:fill="FFFFFF"/>
          <w:lang w:val="en-US" w:eastAsia="zh-CN" w:bidi="ar-SA"/>
        </w:rPr>
      </w:pPr>
      <w:r>
        <w:rPr>
          <w:rFonts w:hint="eastAsia" w:ascii="黑体" w:hAnsi="黑体" w:eastAsia="黑体" w:cs="黑体"/>
          <w:color w:val="auto"/>
          <w:kern w:val="2"/>
          <w:sz w:val="32"/>
          <w:szCs w:val="32"/>
          <w:shd w:val="clear" w:color="auto" w:fill="FFFFFF"/>
          <w:lang w:val="en-US" w:eastAsia="zh-CN" w:bidi="ar-SA"/>
        </w:rPr>
        <w:t>三、工作要求</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（一）加强组织领导。</w:t>
      </w:r>
      <w:r>
        <w:rPr>
          <w:rFonts w:hint="eastAsia" w:ascii="仿宋_GB2312" w:hAnsi="仿宋_GB2312" w:eastAsia="仿宋_GB2312" w:cs="仿宋_GB2312"/>
          <w:b w:val="0"/>
          <w:bCs w:val="0"/>
          <w:color w:val="auto"/>
          <w:sz w:val="32"/>
          <w:szCs w:val="32"/>
          <w:lang w:val="en-US" w:eastAsia="zh-CN"/>
        </w:rPr>
        <w:t>各相关单位和部门充分认识黄河流域固体废物倾倒排查整治的重要性、紧迫性和艰巨性，加强组织领导，强化统筹协调，制定整改方案，明确职责分工，如有工作需求，区公安、自然资源、生态环境、住建、水利、城管等相关部门在整治工作中积极配合开展整治工作，共同推进黄河流域固体废物倾倒排查整治工作。</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（二）及时处理处置。</w:t>
      </w:r>
      <w:r>
        <w:rPr>
          <w:rFonts w:hint="eastAsia" w:ascii="仿宋_GB2312" w:hAnsi="仿宋_GB2312" w:eastAsia="仿宋_GB2312" w:cs="仿宋_GB2312"/>
          <w:b w:val="0"/>
          <w:bCs w:val="0"/>
          <w:color w:val="auto"/>
          <w:sz w:val="32"/>
          <w:szCs w:val="32"/>
          <w:lang w:val="en-US" w:eastAsia="zh-CN"/>
        </w:rPr>
        <w:t>各相关单位和部门按照生态环境部交办的疑似问题清单，尽快做好固体废物倾倒问题整改工作，追溯固体废物来源，如实规范、科学、安全处置固体废物，依法查处固体废物倾倒环境违法行为，及时公开整治情况，确保如期高质量完成整治任务。</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（三）强化跟踪问效。</w:t>
      </w:r>
      <w:r>
        <w:rPr>
          <w:rFonts w:hint="eastAsia" w:ascii="仿宋_GB2312" w:hAnsi="仿宋_GB2312" w:eastAsia="仿宋_GB2312" w:cs="仿宋_GB2312"/>
          <w:b w:val="0"/>
          <w:bCs w:val="0"/>
          <w:color w:val="auto"/>
          <w:sz w:val="32"/>
          <w:szCs w:val="32"/>
          <w:lang w:val="en-US" w:eastAsia="zh-CN"/>
        </w:rPr>
        <w:t>各相关单位和部门要把问题整改</w:t>
      </w:r>
      <w:r>
        <w:rPr>
          <w:rFonts w:hint="default" w:ascii="仿宋_GB2312" w:hAnsi="仿宋_GB2312" w:eastAsia="仿宋_GB2312" w:cs="仿宋_GB2312"/>
          <w:b w:val="0"/>
          <w:bCs w:val="0"/>
          <w:color w:val="auto"/>
          <w:sz w:val="32"/>
          <w:szCs w:val="32"/>
          <w:lang w:val="en-US" w:eastAsia="zh-CN"/>
        </w:rPr>
        <w:t>“抓严抓常</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长效化落实，确保问题不解决不松劲、解决不彻底不放手、群众不认可不罢休</w:t>
      </w:r>
      <w:r>
        <w:rPr>
          <w:rFonts w:hint="eastAsia" w:ascii="仿宋_GB2312" w:hAnsi="仿宋_GB2312" w:eastAsia="仿宋_GB2312" w:cs="仿宋_GB2312"/>
          <w:b w:val="0"/>
          <w:bCs w:val="0"/>
          <w:color w:val="auto"/>
          <w:sz w:val="32"/>
          <w:szCs w:val="32"/>
          <w:lang w:val="en-US" w:eastAsia="zh-CN"/>
        </w:rPr>
        <w:t>。区生态环境局定期对问题整改情况进行调度，对工作进展缓慢和问题突出的点位及相关乡镇，在全区范围内进行通报。</w:t>
      </w:r>
    </w:p>
    <w:p>
      <w:pPr>
        <w:keepNext w:val="0"/>
        <w:keepLines w:val="0"/>
        <w:pageBreakBefore w:val="0"/>
        <w:widowControl w:val="0"/>
        <w:kinsoku/>
        <w:wordWrap/>
        <w:overflowPunct/>
        <w:topLinePunct w:val="0"/>
        <w:bidi w:val="0"/>
        <w:snapToGrid/>
        <w:spacing w:line="576" w:lineRule="exact"/>
        <w:ind w:left="0"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bidi w:val="0"/>
        <w:snapToGrid/>
        <w:spacing w:line="576" w:lineRule="exact"/>
        <w:ind w:left="1598" w:leftChars="304" w:hanging="960" w:hangingChars="300"/>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附件:</w:t>
      </w:r>
      <w:r>
        <w:rPr>
          <w:rFonts w:hint="eastAsia" w:ascii="仿宋_GB2312" w:hAnsi="仿宋_GB2312" w:eastAsia="仿宋_GB2312" w:cs="仿宋_GB2312"/>
          <w:b w:val="0"/>
          <w:bCs w:val="0"/>
          <w:color w:val="auto"/>
          <w:kern w:val="0"/>
          <w:sz w:val="32"/>
          <w:szCs w:val="32"/>
          <w:lang w:val="en-US" w:eastAsia="zh-CN" w:bidi="ar-SA"/>
        </w:rPr>
        <w:t>2024年湟中区黄河流域(湟水河湟中段)固体废弃物倾倒整治任务清单</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联系人:李顺虎</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联系电话:15897013523</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邮  箱:1084453854@qq.com</w:t>
      </w:r>
    </w:p>
    <w:p>
      <w:pPr>
        <w:pStyle w:val="3"/>
        <w:jc w:val="both"/>
        <w:rPr>
          <w:rFonts w:hint="eastAsia" w:ascii="仿宋" w:hAnsi="仿宋" w:eastAsia="仿宋" w:cs="仿宋"/>
          <w:kern w:val="0"/>
          <w:sz w:val="28"/>
          <w:szCs w:val="28"/>
          <w:lang w:val="en-US" w:eastAsia="zh-CN" w:bidi="ar-SA"/>
        </w:rPr>
      </w:pPr>
    </w:p>
    <w:p>
      <w:pPr>
        <w:pStyle w:val="3"/>
        <w:jc w:val="both"/>
        <w:rPr>
          <w:rFonts w:hint="eastAsia" w:ascii="仿宋" w:hAnsi="仿宋" w:eastAsia="仿宋" w:cs="仿宋"/>
          <w:kern w:val="0"/>
          <w:sz w:val="28"/>
          <w:szCs w:val="28"/>
          <w:lang w:val="en-US" w:eastAsia="zh-CN" w:bidi="ar-SA"/>
        </w:rPr>
      </w:pPr>
    </w:p>
    <w:p>
      <w:pPr>
        <w:pStyle w:val="3"/>
        <w:jc w:val="both"/>
        <w:rPr>
          <w:rFonts w:hint="eastAsia" w:ascii="仿宋" w:hAnsi="仿宋" w:eastAsia="仿宋" w:cs="仿宋"/>
          <w:kern w:val="0"/>
          <w:sz w:val="28"/>
          <w:szCs w:val="28"/>
          <w:lang w:val="en-US" w:eastAsia="zh-CN" w:bidi="ar-SA"/>
        </w:rPr>
      </w:pPr>
    </w:p>
    <w:p>
      <w:pPr>
        <w:pStyle w:val="3"/>
        <w:jc w:val="both"/>
        <w:rPr>
          <w:rFonts w:hint="eastAsia" w:ascii="仿宋" w:hAnsi="仿宋" w:eastAsia="仿宋" w:cs="仿宋"/>
          <w:kern w:val="0"/>
          <w:sz w:val="28"/>
          <w:szCs w:val="28"/>
          <w:lang w:val="en-US" w:eastAsia="zh-CN" w:bidi="ar-SA"/>
        </w:rPr>
      </w:pPr>
    </w:p>
    <w:p>
      <w:pPr>
        <w:pStyle w:val="3"/>
        <w:jc w:val="both"/>
        <w:rPr>
          <w:rFonts w:hint="eastAsia" w:ascii="仿宋" w:hAnsi="仿宋" w:eastAsia="仿宋" w:cs="仿宋"/>
          <w:kern w:val="0"/>
          <w:sz w:val="28"/>
          <w:szCs w:val="28"/>
          <w:lang w:val="en-US" w:eastAsia="zh-CN" w:bidi="ar-SA"/>
        </w:rPr>
      </w:pPr>
    </w:p>
    <w:p>
      <w:pPr>
        <w:pStyle w:val="3"/>
        <w:jc w:val="both"/>
        <w:rPr>
          <w:rFonts w:hint="eastAsia" w:ascii="仿宋" w:hAnsi="仿宋" w:eastAsia="仿宋" w:cs="仿宋"/>
          <w:kern w:val="0"/>
          <w:sz w:val="28"/>
          <w:szCs w:val="28"/>
          <w:lang w:val="en-US" w:eastAsia="zh-CN" w:bidi="ar-SA"/>
        </w:rPr>
      </w:pPr>
    </w:p>
    <w:p>
      <w:pPr>
        <w:pStyle w:val="3"/>
        <w:jc w:val="both"/>
        <w:rPr>
          <w:rFonts w:hint="eastAsia" w:ascii="仿宋" w:hAnsi="仿宋" w:eastAsia="仿宋" w:cs="仿宋"/>
          <w:kern w:val="0"/>
          <w:sz w:val="28"/>
          <w:szCs w:val="28"/>
          <w:lang w:val="en-US" w:eastAsia="zh-CN" w:bidi="ar-SA"/>
        </w:rPr>
      </w:pPr>
    </w:p>
    <w:p>
      <w:pPr>
        <w:jc w:val="both"/>
        <w:rPr>
          <w:rFonts w:hint="eastAsia" w:ascii="方正小标宋简体" w:hAnsi="方正小标宋简体" w:eastAsia="方正小标宋简体" w:cs="方正小标宋简体"/>
          <w:color w:val="auto"/>
          <w:kern w:val="2"/>
          <w:sz w:val="32"/>
          <w:szCs w:val="32"/>
          <w:shd w:val="clear" w:color="auto" w:fill="FFFFFF"/>
          <w:lang w:val="en-US" w:eastAsia="zh-CN" w:bidi="ar-SA"/>
        </w:rPr>
      </w:pPr>
    </w:p>
    <w:p>
      <w:pPr>
        <w:jc w:val="both"/>
        <w:rPr>
          <w:rFonts w:hint="eastAsia" w:ascii="方正小标宋简体" w:hAnsi="方正小标宋简体" w:eastAsia="方正小标宋简体" w:cs="方正小标宋简体"/>
          <w:color w:val="auto"/>
          <w:kern w:val="2"/>
          <w:sz w:val="32"/>
          <w:szCs w:val="32"/>
          <w:shd w:val="clear" w:color="auto" w:fill="FFFFFF"/>
          <w:lang w:val="en-US" w:eastAsia="zh-CN" w:bidi="ar-SA"/>
        </w:rPr>
      </w:pPr>
    </w:p>
    <w:p>
      <w:pPr>
        <w:jc w:val="both"/>
        <w:rPr>
          <w:rFonts w:hint="eastAsia" w:ascii="方正小标宋简体" w:hAnsi="方正小标宋简体" w:eastAsia="方正小标宋简体" w:cs="方正小标宋简体"/>
          <w:color w:val="auto"/>
          <w:kern w:val="2"/>
          <w:sz w:val="32"/>
          <w:szCs w:val="32"/>
          <w:shd w:val="clear" w:color="auto" w:fill="FFFFFF"/>
          <w:lang w:val="en-US" w:eastAsia="zh-CN" w:bidi="ar-SA"/>
        </w:rPr>
      </w:pPr>
    </w:p>
    <w:p>
      <w:pPr>
        <w:jc w:val="both"/>
        <w:rPr>
          <w:rFonts w:hint="eastAsia" w:ascii="方正小标宋简体" w:hAnsi="方正小标宋简体" w:eastAsia="方正小标宋简体" w:cs="方正小标宋简体"/>
          <w:color w:val="auto"/>
          <w:kern w:val="2"/>
          <w:sz w:val="32"/>
          <w:szCs w:val="32"/>
          <w:shd w:val="clear" w:color="auto" w:fill="FFFFFF"/>
          <w:lang w:val="en-US" w:eastAsia="zh-CN" w:bidi="ar-SA"/>
        </w:rPr>
      </w:pPr>
      <w:r>
        <w:rPr>
          <w:rFonts w:hint="eastAsia" w:ascii="方正小标宋简体" w:hAnsi="方正小标宋简体" w:eastAsia="方正小标宋简体" w:cs="方正小标宋简体"/>
          <w:color w:val="auto"/>
          <w:kern w:val="2"/>
          <w:sz w:val="32"/>
          <w:szCs w:val="32"/>
          <w:shd w:val="clear" w:color="auto" w:fill="FFFFFF"/>
          <w:lang w:val="en-US" w:eastAsia="zh-CN" w:bidi="ar-SA"/>
        </w:rPr>
        <w:t>附件：</w:t>
      </w:r>
    </w:p>
    <w:p>
      <w:pPr>
        <w:jc w:val="center"/>
        <w:rPr>
          <w:rFonts w:hint="eastAsia" w:ascii="方正小标宋简体" w:hAnsi="方正小标宋简体" w:eastAsia="方正小标宋简体" w:cs="方正小标宋简体"/>
          <w:color w:val="auto"/>
          <w:kern w:val="2"/>
          <w:sz w:val="32"/>
          <w:szCs w:val="32"/>
          <w:shd w:val="clear" w:color="auto" w:fill="FFFFFF"/>
          <w:lang w:val="en-US" w:eastAsia="zh-CN" w:bidi="ar-SA"/>
        </w:rPr>
      </w:pPr>
      <w:r>
        <w:rPr>
          <w:rFonts w:ascii="宋体" w:hAnsi="宋体" w:eastAsia="宋体" w:cs="宋体"/>
          <w:b/>
          <w:bCs/>
          <w:i w:val="0"/>
          <w:iCs w:val="0"/>
          <w:color w:val="000000"/>
          <w:kern w:val="0"/>
          <w:sz w:val="36"/>
          <w:szCs w:val="36"/>
          <w:u w:val="none"/>
          <w:lang w:val="en-US" w:eastAsia="zh-CN" w:bidi="ar"/>
        </w:rPr>
        <w:t>湟中区“清废行动”疑似问题任务清单</w:t>
      </w:r>
    </w:p>
    <w:tbl>
      <w:tblPr>
        <w:tblStyle w:val="5"/>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154"/>
        <w:gridCol w:w="1290"/>
        <w:gridCol w:w="1335"/>
        <w:gridCol w:w="1411"/>
        <w:gridCol w:w="900"/>
        <w:gridCol w:w="915"/>
        <w:gridCol w:w="109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序号</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点位编号</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疑似问题编号</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问题来源</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所在行政区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经度</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纬度</w:t>
            </w:r>
          </w:p>
        </w:tc>
        <w:tc>
          <w:tcPr>
            <w:tcW w:w="109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疑似固废类型</w:t>
            </w:r>
          </w:p>
        </w:tc>
        <w:tc>
          <w:tcPr>
            <w:tcW w:w="1260" w:type="dxa"/>
            <w:noWrap w:val="0"/>
            <w:vAlign w:val="center"/>
          </w:tcPr>
          <w:p>
            <w:pPr>
              <w:jc w:val="center"/>
              <w:rPr>
                <w:rFonts w:hint="default"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现场核查位置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1</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WX_HZ_1</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6438</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卫星影像</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湟中区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101.597758</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36.711047</w:t>
            </w:r>
          </w:p>
        </w:tc>
        <w:tc>
          <w:tcPr>
            <w:tcW w:w="109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建筑垃圾</w:t>
            </w:r>
          </w:p>
        </w:tc>
        <w:tc>
          <w:tcPr>
            <w:tcW w:w="1260" w:type="dxa"/>
            <w:noWrap w:val="0"/>
            <w:vAlign w:val="center"/>
          </w:tcPr>
          <w:p>
            <w:pPr>
              <w:jc w:val="center"/>
              <w:rPr>
                <w:rFonts w:hint="default"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李家山镇董家湾村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2</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WX_HZ_2</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6439</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卫星影像</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湟中区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101.597391</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36.711292</w:t>
            </w:r>
          </w:p>
        </w:tc>
        <w:tc>
          <w:tcPr>
            <w:tcW w:w="109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建筑垃圾</w:t>
            </w:r>
          </w:p>
        </w:tc>
        <w:tc>
          <w:tcPr>
            <w:tcW w:w="126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李家山镇董家湾村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3</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WX_HZ_3</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6440</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卫星影像</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湟中区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101.498267</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36.703112</w:t>
            </w:r>
          </w:p>
        </w:tc>
        <w:tc>
          <w:tcPr>
            <w:tcW w:w="109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建筑垃圾</w:t>
            </w:r>
          </w:p>
        </w:tc>
        <w:tc>
          <w:tcPr>
            <w:tcW w:w="1260" w:type="dxa"/>
            <w:noWrap w:val="0"/>
            <w:vAlign w:val="center"/>
          </w:tcPr>
          <w:p>
            <w:pPr>
              <w:jc w:val="center"/>
              <w:rPr>
                <w:rFonts w:hint="default"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多巴镇合尔营村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4</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WX_HZ_4</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6441</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卫星影像</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湟中区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101.528189</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36.530347</w:t>
            </w:r>
          </w:p>
        </w:tc>
        <w:tc>
          <w:tcPr>
            <w:tcW w:w="1095" w:type="dxa"/>
            <w:noWrap w:val="0"/>
            <w:vAlign w:val="center"/>
          </w:tcPr>
          <w:p>
            <w:pPr>
              <w:jc w:val="both"/>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一般工业固体废物</w:t>
            </w:r>
          </w:p>
        </w:tc>
        <w:tc>
          <w:tcPr>
            <w:tcW w:w="1260" w:type="dxa"/>
            <w:noWrap w:val="0"/>
            <w:vAlign w:val="center"/>
          </w:tcPr>
          <w:p>
            <w:pPr>
              <w:jc w:val="center"/>
              <w:rPr>
                <w:rFonts w:hint="default"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甘河工业园区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5</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WX_HZ_5</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6458</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卫星影像</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湟中区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101.513764</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36.711228</w:t>
            </w:r>
          </w:p>
        </w:tc>
        <w:tc>
          <w:tcPr>
            <w:tcW w:w="109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建筑垃圾</w:t>
            </w:r>
          </w:p>
        </w:tc>
        <w:tc>
          <w:tcPr>
            <w:tcW w:w="1260" w:type="dxa"/>
            <w:noWrap w:val="0"/>
            <w:vAlign w:val="center"/>
          </w:tcPr>
          <w:p>
            <w:pPr>
              <w:jc w:val="center"/>
              <w:rPr>
                <w:rFonts w:hint="default"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拦隆口镇、多巴镇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6</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WX_HZ_6</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6459</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卫星影像</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湟中区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101.519540</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36.608282</w:t>
            </w:r>
          </w:p>
        </w:tc>
        <w:tc>
          <w:tcPr>
            <w:tcW w:w="109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一般工业固体废物</w:t>
            </w:r>
          </w:p>
        </w:tc>
        <w:tc>
          <w:tcPr>
            <w:tcW w:w="1260" w:type="dxa"/>
            <w:noWrap w:val="0"/>
            <w:vAlign w:val="center"/>
          </w:tcPr>
          <w:p>
            <w:pPr>
              <w:jc w:val="center"/>
              <w:rPr>
                <w:rFonts w:hint="default"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甘河滩镇甘河村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618"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7</w:t>
            </w:r>
          </w:p>
        </w:tc>
        <w:tc>
          <w:tcPr>
            <w:tcW w:w="1154"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XF_HZ_1</w:t>
            </w:r>
          </w:p>
        </w:tc>
        <w:tc>
          <w:tcPr>
            <w:tcW w:w="129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7089</w:t>
            </w:r>
          </w:p>
        </w:tc>
        <w:tc>
          <w:tcPr>
            <w:tcW w:w="133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信访举报</w:t>
            </w:r>
          </w:p>
        </w:tc>
        <w:tc>
          <w:tcPr>
            <w:tcW w:w="1411"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湟中区</w:t>
            </w:r>
          </w:p>
        </w:tc>
        <w:tc>
          <w:tcPr>
            <w:tcW w:w="900"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t>
            </w:r>
          </w:p>
        </w:tc>
        <w:tc>
          <w:tcPr>
            <w:tcW w:w="91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w:t>
            </w:r>
          </w:p>
        </w:tc>
        <w:tc>
          <w:tcPr>
            <w:tcW w:w="1095" w:type="dxa"/>
            <w:noWrap w:val="0"/>
            <w:vAlign w:val="center"/>
          </w:tcPr>
          <w:p>
            <w:pPr>
              <w:jc w:val="center"/>
              <w:rPr>
                <w:rFonts w:hint="eastAsia"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一般工业固体废物</w:t>
            </w:r>
          </w:p>
        </w:tc>
        <w:tc>
          <w:tcPr>
            <w:tcW w:w="1260" w:type="dxa"/>
            <w:noWrap w:val="0"/>
            <w:vAlign w:val="center"/>
          </w:tcPr>
          <w:p>
            <w:pPr>
              <w:jc w:val="center"/>
              <w:rPr>
                <w:rFonts w:hint="default" w:ascii="仿宋_GB2312" w:hAnsi="仿宋_GB2312" w:eastAsia="仿宋_GB2312" w:cs="仿宋_GB2312"/>
                <w:color w:val="auto"/>
                <w:kern w:val="2"/>
                <w:sz w:val="24"/>
                <w:szCs w:val="24"/>
                <w:shd w:val="clear" w:color="auto" w:fill="FFFFFF"/>
                <w:vertAlign w:val="baseline"/>
                <w:lang w:val="en-US" w:eastAsia="zh-CN" w:bidi="ar-SA"/>
              </w:rPr>
            </w:pPr>
            <w:r>
              <w:rPr>
                <w:rFonts w:hint="eastAsia" w:ascii="仿宋_GB2312" w:hAnsi="仿宋_GB2312" w:eastAsia="仿宋_GB2312" w:cs="仿宋_GB2312"/>
                <w:color w:val="auto"/>
                <w:kern w:val="2"/>
                <w:sz w:val="24"/>
                <w:szCs w:val="24"/>
                <w:shd w:val="clear" w:color="auto" w:fill="FFFFFF"/>
                <w:vertAlign w:val="baseline"/>
                <w:lang w:val="en-US" w:eastAsia="zh-CN" w:bidi="ar-SA"/>
              </w:rPr>
              <w:t>多巴镇尚什家村（将甘河滩拉运的粉煤灰倾倒到耕地上，污染了耕地。）</w:t>
            </w:r>
          </w:p>
        </w:tc>
      </w:tr>
    </w:tbl>
    <w:p>
      <w:pPr>
        <w:pStyle w:val="3"/>
        <w:jc w:val="both"/>
        <w:rPr>
          <w:rFonts w:hint="eastAsia" w:ascii="仿宋" w:hAnsi="仿宋" w:eastAsia="仿宋" w:cs="仿宋"/>
          <w:kern w:val="0"/>
          <w:sz w:val="28"/>
          <w:szCs w:val="28"/>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DD37D-28B3-444C-895D-7AF010C695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339C501-5684-4A4B-B16C-C40520AD9CA7}"/>
  </w:font>
  <w:font w:name="方正小标宋简体">
    <w:panose1 w:val="02000000000000000000"/>
    <w:charset w:val="86"/>
    <w:family w:val="script"/>
    <w:pitch w:val="default"/>
    <w:sig w:usb0="00000001" w:usb1="08000000" w:usb2="00000000" w:usb3="00000000" w:csb0="00040000" w:csb1="00000000"/>
    <w:embedRegular r:id="rId3" w:fontKey="{80B01546-D097-4297-9148-3087C4B0AA75}"/>
  </w:font>
  <w:font w:name="仿宋_GB2312">
    <w:panose1 w:val="02010609030101010101"/>
    <w:charset w:val="86"/>
    <w:family w:val="modern"/>
    <w:pitch w:val="default"/>
    <w:sig w:usb0="00000001" w:usb1="080E0000" w:usb2="00000000" w:usb3="00000000" w:csb0="00040000" w:csb1="00000000"/>
    <w:embedRegular r:id="rId4" w:fontKey="{F82ADB15-4D43-44F2-B664-AA95411D156B}"/>
  </w:font>
  <w:font w:name="Tahoma">
    <w:panose1 w:val="020B0604030504040204"/>
    <w:charset w:val="00"/>
    <w:family w:val="swiss"/>
    <w:pitch w:val="default"/>
    <w:sig w:usb0="E1002EFF" w:usb1="C000605B" w:usb2="00000029" w:usb3="00000000" w:csb0="200101FF" w:csb1="20280000"/>
    <w:embedRegular r:id="rId5" w:fontKey="{4EFA3D88-F734-44E4-8C03-DB5914C26021}"/>
  </w:font>
  <w:font w:name="楷体_GB2312">
    <w:panose1 w:val="02010609030101010101"/>
    <w:charset w:val="86"/>
    <w:family w:val="auto"/>
    <w:pitch w:val="default"/>
    <w:sig w:usb0="00000001" w:usb1="080E0000" w:usb2="00000000" w:usb3="00000000" w:csb0="00040000" w:csb1="00000000"/>
    <w:embedRegular r:id="rId6" w:fontKey="{87BA1B19-C1A6-4473-8C2E-EEE9828FAB17}"/>
  </w:font>
  <w:font w:name="仿宋">
    <w:panose1 w:val="02010609060101010101"/>
    <w:charset w:val="86"/>
    <w:family w:val="auto"/>
    <w:pitch w:val="default"/>
    <w:sig w:usb0="800002BF" w:usb1="38CF7CFA" w:usb2="00000016" w:usb3="00000000" w:csb0="00040001" w:csb1="00000000"/>
    <w:embedRegular r:id="rId7" w:fontKey="{A11E4448-D84B-4212-8851-1B383CC3D08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414CFF"/>
    <w:multiLevelType w:val="singleLevel"/>
    <w:tmpl w:val="6A414CF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3ZDQ2NzBmMmRhMzAyMDIyZjliNTRjNjhkZjg4NGQifQ=="/>
  </w:docVars>
  <w:rsids>
    <w:rsidRoot w:val="3E9A1E91"/>
    <w:rsid w:val="3E9A1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jc w:val="left"/>
    </w:pPr>
    <w:rPr>
      <w:rFonts w:ascii="宋体" w:hAnsi="Calibri" w:eastAsia="宋体" w:cs="Times New Roman"/>
      <w:color w:val="000000"/>
      <w:kern w:val="0"/>
      <w:sz w:val="24"/>
      <w:szCs w:val="24"/>
      <w:lang w:val="en-US" w:eastAsia="zh-CN" w:bidi="ar-SA"/>
    </w:rPr>
  </w:style>
  <w:style w:type="paragraph" w:styleId="3">
    <w:name w:val="Body Text"/>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table" w:styleId="5">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2024-07-02T01:26:00Z</dcterms:created>
  <dc:creator>77777</dc:creator>
  <cp:lastModifiedBy>77777</cp:lastModifiedBy>
  <dcterms:modified xsi:type="dcterms:W3CDTF">2024-07-02T01:27:38Z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F3B1DEB2C5094016A36D76A7FF5D7174_11</vt:lpwstr>
  </property>
</Properties>
</file>