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大才回族乡202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年政府信息公开工作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年度报告</w:t>
      </w:r>
    </w:p>
    <w:p>
      <w:pPr>
        <w:ind w:firstLine="640" w:firstLineChars="20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本报告依据《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青海省政府信息与政务公开办公室关于转发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中华人民共和国政府信息公开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工作年度报告格式的通知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》（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青征信公办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〔2021〕1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号）文件要求，结合大才回族乡政府信息公开工作有关统计数据撰写。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特向社会公布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202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2</w:t>
      </w:r>
      <w:r>
        <w:rPr>
          <w:rFonts w:ascii="Times New Roman" w:eastAsia="仿宋_GB2312" w:hAnsi="Times New Roman" w:hint="eastAsia"/>
          <w:sz w:val="32"/>
          <w:szCs w:val="32"/>
        </w:rPr>
        <w:t xml:space="preserve">年度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大才回族乡</w:t>
      </w:r>
      <w:r>
        <w:rPr>
          <w:rFonts w:ascii="Times New Roman" w:eastAsia="仿宋_GB2312" w:hAnsi="Times New Roman" w:hint="eastAsia"/>
          <w:sz w:val="32"/>
          <w:szCs w:val="32"/>
        </w:rPr>
        <w:t xml:space="preserve">政府信息公开工作年度报告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，本报告</w:t>
      </w:r>
      <w:r>
        <w:rPr>
          <w:rFonts w:ascii="Times New Roman" w:eastAsia="仿宋_GB2312" w:hAnsi="Times New Roman" w:hint="eastAsia"/>
          <w:sz w:val="32"/>
          <w:szCs w:val="32"/>
        </w:rPr>
        <w:t xml:space="preserve">由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总体情况、行政机关</w:t>
      </w:r>
      <w:r>
        <w:rPr>
          <w:rFonts w:ascii="Times New Roman" w:eastAsia="仿宋_GB2312" w:hAnsi="Times New Roman" w:hint="eastAsia"/>
          <w:sz w:val="32"/>
          <w:szCs w:val="32"/>
        </w:rPr>
        <w:t xml:space="preserve">主动公开政府信息情况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、行政机关收到和处理</w:t>
      </w:r>
      <w:r>
        <w:rPr>
          <w:rFonts w:ascii="Times New Roman" w:eastAsia="仿宋_GB2312" w:hAnsi="Times New Roman" w:hint="eastAsia"/>
          <w:sz w:val="32"/>
          <w:szCs w:val="32"/>
        </w:rPr>
        <w:t xml:space="preserve">政府信息公开申请情况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、因政府信息公开工作被申请行政复议、提起行政诉讼情况、</w:t>
      </w:r>
      <w:r>
        <w:rPr>
          <w:rFonts w:ascii="Times New Roman" w:eastAsia="仿宋_GB2312" w:hAnsi="Times New Roman" w:hint="eastAsia"/>
          <w:sz w:val="32"/>
          <w:szCs w:val="32"/>
        </w:rPr>
        <w:t xml:space="preserve">政府信息公开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工作</w:t>
      </w:r>
      <w:r>
        <w:rPr>
          <w:rFonts w:ascii="Times New Roman" w:eastAsia="仿宋_GB2312" w:hAnsi="Times New Roman" w:hint="eastAsia"/>
          <w:sz w:val="32"/>
          <w:szCs w:val="32"/>
        </w:rPr>
        <w:t xml:space="preserve">存在的主要问题和改进措施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、其他需要报告的事项组成，</w:t>
      </w:r>
      <w:r>
        <w:rPr>
          <w:rFonts w:ascii="Times New Roman" w:eastAsia="仿宋_GB2312" w:hAnsi="Times New Roman" w:hint="eastAsia"/>
          <w:sz w:val="32"/>
          <w:szCs w:val="32"/>
        </w:rPr>
        <w:t xml:space="preserve">并附相关说明和指标统计附表。本报告中使用数据统计期限为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202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2</w:t>
      </w:r>
      <w:r>
        <w:rPr>
          <w:rFonts w:ascii="Times New Roman" w:eastAsia="仿宋_GB2312" w:hAnsi="Times New Roman" w:hint="eastAsia"/>
          <w:sz w:val="32"/>
          <w:szCs w:val="32"/>
        </w:rPr>
        <w:t xml:space="preserve">年1月1日至12月28日。如对本年度报告有任何疑问，请联系：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大才回族乡</w:t>
      </w:r>
      <w:r>
        <w:rPr>
          <w:rFonts w:ascii="Times New Roman" w:eastAsia="仿宋_GB2312" w:hAnsi="Times New Roman" w:hint="eastAsia"/>
          <w:sz w:val="32"/>
          <w:szCs w:val="32"/>
        </w:rPr>
        <w:t xml:space="preserve">人民政府办公室（联系电话：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0971-2219277</w:t>
      </w:r>
      <w:r>
        <w:rPr>
          <w:rFonts w:ascii="Times New Roman" w:eastAsia="仿宋_GB2312" w:hAnsi="Times New Roman" w:hint="eastAsia"/>
          <w:sz w:val="32"/>
          <w:szCs w:val="32"/>
        </w:rPr>
        <w:t xml:space="preserve">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/>
        <w:textAlignment w:val="auto"/>
        <w:rPr>
          <w:rFonts w:ascii="黑体" w:eastAsia="黑体" w:hAnsi="黑体" w:cs="黑体" w:hint="eastAsia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  <w:t xml:space="preserve">一、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 xml:space="preserve">总体情况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jc w:val="both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（一）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政府信息公开工作的基本情况</w:t>
      </w: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一是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将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大才回族乡各科室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联系方式在政府公开栏公布。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二是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将领导班子成员分管信息在政府公开栏公布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，并将文件下发至各村。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三是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将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生态环境、乡村振兴、养老服务、社会保障、劳动就业信息、社会治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安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等公示情况在政府公开栏公开。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四是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通过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微信平台、短信平台和政府公开栏等方式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，及时在发布和更新政务信息、通知公告等内容。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643" w:leftChars="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（二）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主动公开政府信息的情况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一是管理和服务公开工作中，加大公开力度。着力加强建设法治政府、重点领域信息公开，确保相关信息能够及时面对公众公开。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2022年度主动公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开的157条政府信息中，其中机构职能、领导班子分工、内设机构职责进行调整，公共开相关信息12条，村级财务公开类信息5条。二是深化重点领域，提高高质量信息。公开安全生产应急管理类信息20条。三是认真做好重点领域信息公开，及时发布财政预决算、“三公”经费，重点民生及减税降费等信息，乡村振兴类信息32条，民政类信息65条，疫情防控类信息9条，劳动就业信息7条，部门资金预算7条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（三）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依申请公开政府信息和不予公开政府信息的情况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2022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年我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乡未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收到依申请公开政府信息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和不予公开政府信息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。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（四）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政府信息公开申请行政复议、提起行政诉讼的情况。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2022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年我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乡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未收到行政复议和行政诉讼的情况。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（五）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政府信息公开的收费及减免情况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  公民、法人和其他组织在我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乡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获取政府公开信息时，从未进行收费。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（六）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举报投诉情况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2022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年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我乡不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存在关于政府信息公开方面的举报。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Times New Roman" w:eastAsia="仿宋_GB2312" w:hAnsi="Times New Roman" w:cs="Times New Roman"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  <w:t xml:space="preserve">二、主动公开政府信息情况</w:t>
      </w:r>
    </w:p>
    <w:tbl>
      <w:tblPr>
        <w:tblStyle w:val="TableNormal"/>
        <w:tblW w:w="82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41"/>
        <w:gridCol w:w="1845"/>
        <w:gridCol w:w="1666"/>
        <w:gridCol w:w="1679"/>
      </w:tblGrid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第二十条第（一）项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制发件数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现行有效件数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行政规范性文件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第二十条第（五）项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本年处理决定数量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行政许可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第二十条第（六）项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本年处理决定数量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行政处罚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行政强制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第二十条第（八）项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本年收费金额（单位：万元）</w:t>
            </w:r>
          </w:p>
        </w:tc>
      </w:tr>
      <w:tr>
        <w:tblPrEx>
          <w:tblW w:w="823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行政事业性收费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/>
        <w:textAlignment w:val="auto"/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  <w:t xml:space="preserve">三、收到和处理政府信息公开申请情况</w:t>
      </w:r>
    </w:p>
    <w:tbl>
      <w:tblPr>
        <w:tblStyle w:val="TableNormal"/>
        <w:tblW w:w="81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2638"/>
        <w:gridCol w:w="399"/>
        <w:gridCol w:w="421"/>
        <w:gridCol w:w="551"/>
        <w:gridCol w:w="863"/>
        <w:gridCol w:w="820"/>
        <w:gridCol w:w="518"/>
        <w:gridCol w:w="481"/>
      </w:tblGrid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40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0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申请人情况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自然人</w:t>
            </w:r>
          </w:p>
        </w:tc>
        <w:tc>
          <w:tcPr>
            <w:tcW w:w="31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法人或其他组织</w:t>
            </w: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40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商业企业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科研机构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社会公益组织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法律服务机构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</w:t>
            </w:r>
          </w:p>
        </w:tc>
        <w:tc>
          <w:tcPr>
            <w:tcW w:w="4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  <w:jc w:val="center"/>
        </w:trPr>
        <w:tc>
          <w:tcPr>
            <w:tcW w:w="40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一、本年新收政府信息公开申请数量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40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二、上年结转政府信息公开申请数量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三、本年度办理结果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（一）予以公开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（二）部分公开（区分处理的，只计这一情形，不计其他情形）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（三）不予公开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1.属于国家秘密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2.其他法律行政法规禁止公开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3.危及“三安全一稳定”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4.保护第三方合法权益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5.属于三类内部事务信息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6.属于四类过程性信息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7.属于行政执法案卷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8.属于行政查询事项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（四）无法提供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1.本机关不掌握相关政府信息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2.没有现成信息需要另行制作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3.补正后申请内容仍不明确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（五）不予处理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1.信访举报投诉类申请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2.重复申请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3.要求提供公开出版物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4.无正当理由大量反复申请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5.要求行政机关确认或重新出具已获取信息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（六）其他处理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1.申请人无正当理由逾期不补正、行政机关不再处理其政府信息公开申请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2.申请人逾期未按收费通知要求缴纳费用，行政机关不再处理其政府信息公开申请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3.其他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（七）总计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12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40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四、结转下年度继续办理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/>
        <w:textAlignment w:val="auto"/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val="en-US" w:eastAsia="zh-CN"/>
        </w:rPr>
        <w:t xml:space="preserve">四、政府信息公开行政复议、行政诉讼情况</w:t>
      </w:r>
    </w:p>
    <w:tbl>
      <w:tblPr>
        <w:tblStyle w:val="TableNormal"/>
        <w:tblW w:w="77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518"/>
      </w:tblGrid>
      <w:tr>
        <w:trPr>
          <w:trHeight w:val="376"/>
          <w:jc w:val="center"/>
        </w:trPr>
        <w:tc>
          <w:tcPr>
            <w:tcW w:w="26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行政复议</w:t>
            </w:r>
          </w:p>
        </w:tc>
        <w:tc>
          <w:tcPr>
            <w:tcW w:w="51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行政诉讼</w:t>
            </w:r>
          </w:p>
        </w:tc>
      </w:tr>
      <w:tr>
        <w:tblPrEx>
          <w:tblW w:w="774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2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未经复议直接起诉</w:t>
            </w:r>
          </w:p>
        </w:tc>
        <w:tc>
          <w:tcPr>
            <w:tcW w:w="2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复议后起诉</w:t>
            </w:r>
          </w:p>
        </w:tc>
      </w:tr>
      <w:tr>
        <w:tblPrEx>
          <w:tblW w:w="774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</w:tr>
      <w:tr>
        <w:trPr>
          <w:trHeight w:val="461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pStyle w:val="BodyTextFirstIndent"/>
      </w:pPr>
    </w:p>
    <w:p>
      <w:pPr>
        <w:pStyle w:val="BodyTextFirstIndent"/>
      </w:pPr>
    </w:p>
    <w:p>
      <w:pPr>
        <w:pStyle w:val="BodyTextFirstIndent"/>
      </w:pPr>
    </w:p>
    <w:p>
      <w:pPr>
        <w:pStyle w:val="BodyTextFirstIndent"/>
      </w:pPr>
    </w:p>
    <w:p>
      <w:pPr>
        <w:pStyle w:val="BodyTextFirstIndent"/>
        <w:ind w:left="0" w:firstLine="640" w:leftChars="0" w:firstLineChars="2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五、存在的主要问题及改进情况</w:t>
      </w:r>
    </w:p>
    <w:p>
      <w:pPr>
        <w:pStyle w:val="BodyTextFirstIndent"/>
        <w:ind w:left="0" w:firstLine="640" w:leftChars="0" w:firstLineChars="20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年，通过乡全体干部的共同努力，我乡政府信息公开工作有了新的进展，但也存在一些不足：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一是</w:t>
      </w:r>
      <w:r>
        <w:rPr>
          <w:rFonts w:ascii="Times New Roman" w:eastAsia="方正仿宋_GB2312" w:hAnsi="Times New Roman" w:cs="Times New Roman" w:hint="default"/>
          <w:b w:val="0"/>
          <w:bCs w:val="0"/>
          <w:i w:val="0"/>
          <w:caps w:val="0"/>
          <w:color w:val="424242"/>
          <w:spacing w:val="0"/>
          <w:sz w:val="32"/>
          <w:szCs w:val="32"/>
          <w:shd w:val="clear" w:color="auto" w:fill="FFFFFF"/>
        </w:rPr>
        <w:t xml:space="preserve">部分公开信息分类不准确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二是</w:t>
      </w:r>
      <w:r>
        <w:rPr>
          <w:rFonts w:ascii="Times New Roman" w:eastAsia="方正仿宋_GB2312" w:hAnsi="Times New Roman" w:cs="Times New Roman" w:hint="default"/>
          <w:b w:val="0"/>
          <w:bCs w:val="0"/>
          <w:i w:val="0"/>
          <w:caps w:val="0"/>
          <w:color w:val="424242"/>
          <w:spacing w:val="0"/>
          <w:sz w:val="32"/>
          <w:szCs w:val="32"/>
          <w:shd w:val="clear" w:color="auto" w:fill="FFFFFF"/>
        </w:rPr>
        <w:t xml:space="preserve">信息公开的时效性仍有待提高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政务公开培训力度不够，政府信息公开整体工作水平仍需提升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。</w:t>
      </w:r>
    </w:p>
    <w:p>
      <w:pPr>
        <w:pStyle w:val="BodyTextFirstIndent"/>
        <w:ind w:left="0" w:firstLine="640" w:leftChars="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我乡在接下来的工作中：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进一步充实信息公开内容，突出重点、热点和难点问题，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做好信息分类，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把群众最关心、反应最强烈的事项作为政府信息公开的主要内容，切实发挥好信息公开平台的桥梁作用。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二是</w:t>
      </w:r>
      <w:r>
        <w:rPr>
          <w:rFonts w:ascii="Times New Roman" w:eastAsia="方正仿宋_GB2312" w:hAnsi="Times New Roman" w:cs="Times New Roman" w:hint="default"/>
          <w:b w:val="0"/>
          <w:bCs w:val="0"/>
          <w:i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 xml:space="preserve">进一步</w:t>
      </w:r>
      <w:r>
        <w:rPr>
          <w:rFonts w:ascii="Times New Roman" w:eastAsia="方正仿宋_GB2312" w:hAnsi="Times New Roman" w:cs="Times New Roman" w:hint="default"/>
          <w:b w:val="0"/>
          <w:bCs w:val="0"/>
          <w:i w:val="0"/>
          <w:caps w:val="0"/>
          <w:color w:val="424242"/>
          <w:spacing w:val="0"/>
          <w:sz w:val="32"/>
          <w:szCs w:val="32"/>
          <w:shd w:val="clear" w:color="auto" w:fill="FFFFFF"/>
        </w:rPr>
        <w:t xml:space="preserve">继续加强对政务公开和信息公开工作的领导，将政务信息公开工作纳入全局总体工作，一并抓好、落实好。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加大培训、宣传力度，乡全体干部要加强《条例》的学习和培训，规范依法办理申请公开政府信息的水平，开展多种形式的宣传活动，创造条件。</w:t>
      </w:r>
      <w:bookmarkStart w:id="0" w:name="_GoBack"/>
      <w:bookmarkEnd w:id="0"/>
    </w:p>
    <w:p>
      <w:pPr>
        <w:pStyle w:val="BodyTextFirstIndent"/>
        <w:ind w:left="0" w:firstLine="640" w:leftChars="0" w:firstLineChars="2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六、其他需要报告的事项</w:t>
      </w:r>
    </w:p>
    <w:p>
      <w:pPr>
        <w:pStyle w:val="BodyTextFirstIndent"/>
        <w:ind w:left="0" w:firstLine="640" w:leftChars="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年我乡不存在其他需要报告事项。</w:t>
      </w:r>
    </w:p>
    <w:p>
      <w:pPr>
        <w:pStyle w:val="BodyTextFirstIndent"/>
      </w:pPr>
    </w:p>
    <w:sectPr>
      <w:pgSz w:w="11906" w:h="16838" w:orient="portrait"/>
      <w:pgMar w:top="1327" w:right="1800" w:bottom="1270" w:left="1800" w:header="851" w:footer="992" w:gutter="0"/>
      <w:cols w:num="1" w:space="0">
        <w:col w:w="8306"/>
      </w:cols>
      <w:rtlGutter w:val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360BCB-9B4B-4603-B732-65B19B72E9D0}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  <w:embedRegular r:id="rId2" w:fontKey="{703046E8-F4E7-4E29-8023-E755BA3811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8FE94F-2461-457E-8FDC-3BEE8A15D0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7618E14-B02C-4D55-B02A-4ED771F2F7C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CAAE6CC-6E3C-4DB1-AFEE-5DDDD3A792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0F14B83-07A0-44A5-8987-123423F133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DlkNjk2NWI2YjYxOGIxNTg5OGVjNDRhNTE5YmY1MzE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Calibri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qFormat/>
    <w:pPr>
      <w:ind w:firstLine="420" w:firstLineChars="100"/>
    </w:pPr>
    <w:rPr>
      <w:rFonts w:ascii="Calibri" w:eastAsia="宋体" w:hAnsi="Calibri" w:cs="Times New Roman"/>
      <w:szCs w:val="22"/>
    </w:rPr>
  </w:style>
  <w:style w:type="paragraph" w:styleId="BodyText">
    <w:name w:val="Body Text"/>
    <w:basedOn w:val="Normal"/>
    <w:qFormat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BodyTextIndent">
    <w:name w:val="Body Text Indent"/>
    <w:basedOn w:val="Normal"/>
    <w:qFormat/>
    <w:pPr>
      <w:spacing w:after="120"/>
      <w:ind w:left="420" w:leftChars="200"/>
    </w:pPr>
    <w:rPr>
      <w:rFonts w:eastAsia="宋体"/>
      <w:sz w:val="21"/>
      <w:szCs w:val="24"/>
    </w:rPr>
  </w:style>
  <w:style w:type="paragraph" w:styleId="Normal(Web)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F7F060D54FD54B0486BE50509B37850D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F7F060D54FD54B0486BE50509B37850D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F7F060D54FD54B0486BE50509B37850D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F7F060D54FD54B0486BE50509B37850D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F7F060D54FD54B0486BE50509B37850D</vt:lpstr>
  </property>
</Properties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F7F060D54FD54B0486BE50509B37850D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6</Pages>
  <Words>2198</Words>
  <Characters>2267</Characters>
  <Application>WPS Office_11.1.0.13703_F1E327BC-269C-435d-A152-05C5408002CA</Application>
  <DocSecurity>0</DocSecurity>
  <Lines>0</Lines>
  <Paragraphs>0</Paragraphs>
  <CharactersWithSpaces>2271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2022-01-17T07:46:00Z</dcterms:created>
  <dcterms:modified xsi:type="dcterms:W3CDTF">2023-01-18T02:32:19Z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2052-11.1.0.13703</vt:lpstr>
  </property>
  <property fmtid="{D5CDD505-2E9C-101B-9397-08002B2CF9AE}" pid="3" name="ICV">
    <vt:lpstr>F7F060D54FD54B0486BE50509B37850D</vt:lpstr>
  </property>
</Properties>
</file>