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line="560" w:lineRule="exact"/>
        <w:jc w:val="center"/>
        <w:rPr>
          <w:rFonts w:ascii="黑体" w:eastAsia="黑体" w:hAnsi="黑体" w:cs="黑体"/>
          <w:bCs/>
          <w:sz w:val="44"/>
          <w:szCs w:val="44"/>
        </w:rPr>
      </w:pPr>
      <w:r>
        <w:rPr>
          <w:rFonts w:ascii="黑体" w:eastAsia="黑体" w:hAnsi="黑体" w:cs="黑体" w:hint="eastAsia"/>
          <w:bCs/>
          <w:sz w:val="44"/>
          <w:szCs w:val="44"/>
        </w:rPr>
        <w:t xml:space="preserve">西宁市公共资源交易中心关于湟中区田家寨镇建筑石料用闪长岩矿（南矿区）采矿权网上挂牌出让公告 </w:t>
      </w:r>
    </w:p>
    <w:p>
      <w:pPr>
        <w:spacing w:line="5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2021</w:t>
      </w:r>
      <w:r w:rsidR="00C2537A">
        <w:rPr>
          <w:rFonts w:ascii="仿宋_GB2312" w:eastAsia="仿宋_GB2312" w:hAnsi="仿宋_GB2312" w:cs="仿宋_GB2312"/>
          <w:sz w:val="32"/>
          <w:szCs w:val="32"/>
        </w:rPr>
        <w:t xml:space="preserve">KC</w:t>
      </w:r>
      <w:r>
        <w:rPr>
          <w:rFonts w:ascii="仿宋_GB2312" w:eastAsia="仿宋_GB2312" w:hAnsi="仿宋_GB2312" w:cs="仿宋_GB2312" w:hint="eastAsia"/>
          <w:sz w:val="32"/>
          <w:szCs w:val="32"/>
        </w:rPr>
        <w:t xml:space="preserve">网挂公告第〔</w:t>
      </w:r>
      <w:r w:rsidR="00C2537A">
        <w:rPr>
          <w:rFonts w:ascii="仿宋_GB2312" w:eastAsia="仿宋_GB2312" w:hAnsi="仿宋_GB2312" w:cs="仿宋_GB2312"/>
          <w:sz w:val="32"/>
          <w:szCs w:val="32"/>
        </w:rPr>
        <w:t xml:space="preserve">2</w:t>
      </w:r>
      <w:r>
        <w:rPr>
          <w:rFonts w:ascii="仿宋_GB2312" w:eastAsia="仿宋_GB2312" w:hAnsi="仿宋_GB2312" w:cs="仿宋_GB2312" w:hint="eastAsia"/>
          <w:sz w:val="32"/>
          <w:szCs w:val="32"/>
        </w:rPr>
        <w:t xml:space="preserve">〕号</w:t>
      </w:r>
      <w:r w:rsidR="0066194C">
        <w:rPr>
          <w:rFonts w:ascii="仿宋_GB2312" w:eastAsia="仿宋_GB2312" w:hAnsi="仿宋_GB2312" w:cs="仿宋_GB2312" w:hint="eastAsia"/>
          <w:sz w:val="32"/>
          <w:szCs w:val="32"/>
        </w:rPr>
        <w:t xml:space="preserve">（第二次）</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根据《矿业权交易规则》等有关规定，受西宁市湟中区自然资源局委托，对湟中区田家寨镇建筑石料用闪长岩矿（南矿区）采矿权进行网上挂牌出让，现将有关事项公告如下：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1、出让人及地址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出让人：西宁市湟中区自然资源局。</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地址：西宁市湟中区鲁沙尔镇团结南路23号。</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2、采矿权基本情况及准入条件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 采矿权挂牌编号：2021ZK-1</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 采矿权名称：湟中区田家寨镇建筑石料用闪长岩矿（南矿区）采矿权</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 采矿权位置：青海省湟中区田家寨镇</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 采矿权范围（2000国家大地坐标系）：</w:t>
      </w:r>
    </w:p>
    <w:tbl>
      <w:tblPr>
        <w:tblStyle w:val="TableNormal"/>
        <w:tblW w:w="94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
        <w:gridCol w:w="1863"/>
        <w:gridCol w:w="1926"/>
        <w:gridCol w:w="1030"/>
        <w:gridCol w:w="1762"/>
        <w:gridCol w:w="1926"/>
      </w:tblGrid>
      <w:tr>
        <w:trPr>
          <w:trHeight w:val="906"/>
        </w:trPr>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拐点</w:t>
            </w:r>
          </w:p>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序号</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X坐标</w:t>
            </w:r>
          </w:p>
        </w:tc>
        <w:tc>
          <w:tcPr>
            <w:tcW w:w="1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Y坐标</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拐点</w:t>
            </w:r>
          </w:p>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序号</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X坐标</w:t>
            </w:r>
          </w:p>
        </w:tc>
        <w:tc>
          <w:tcPr>
            <w:tcW w:w="1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Y坐标</w:t>
            </w:r>
          </w:p>
        </w:tc>
      </w:tr>
      <w:tr>
        <w:trPr>
          <w:trHeight w:val="637"/>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4043287.23</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34490786.81</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J8</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4043091.30</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34489895.90</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J2</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4043309.43</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34490960.40</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J9</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4043263.94</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34490046.75</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J3</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4042748.72</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34491044.61</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J10</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4043261.72</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34490143.32</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J4</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4042392.08</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34489412.98</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4042984.12</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34490258.67</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J5</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4042996.75</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34489281.91</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J12</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4042998.48</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34490400.41</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J6</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4042933.75</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34489479.90</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J13</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4043099.53</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34490573.53</w:t>
            </w:r>
          </w:p>
        </w:tc>
      </w:tr>
      <w:tr>
        <w:trPr>
          <w:trHeight w:val="652"/>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J7</w:t>
            </w:r>
          </w:p>
        </w:tc>
        <w:tc>
          <w:tcPr>
            <w:tcW w:w="187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4043065.92</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34489680.49</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J14</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4043175.71</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20" w:lineRule="atLeast"/>
              <w:jc w:val="center"/>
              <w:rPr>
                <w:rFonts w:ascii="Arial" w:eastAsia="微软雅黑" w:hAnsi="Arial" w:cs="Arial"/>
                <w:color w:val="3D4B64"/>
                <w:kern w:val="0"/>
                <w:sz w:val="20"/>
                <w:szCs w:val="20"/>
              </w:rPr>
            </w:pPr>
            <w:r>
              <w:rPr>
                <w:rFonts w:ascii="方正仿宋_GBK" w:eastAsia="方正仿宋_GBK" w:hAnsi="Arial" w:cs="Arial" w:hint="eastAsia"/>
                <w:color w:val="3D4B64"/>
                <w:kern w:val="0"/>
                <w:sz w:val="28"/>
                <w:szCs w:val="28"/>
              </w:rPr>
              <w:t xml:space="preserve">34490804.50</w:t>
            </w:r>
          </w:p>
        </w:tc>
      </w:tr>
    </w:tbl>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2.5 面积：0.907平方千米</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2.6 开采矿高：从2592.0米至2394.0米</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2.7 开采矿种：建筑</w:t>
      </w:r>
      <w:r w:rsidR="002A4794">
        <w:rPr>
          <w:rFonts w:ascii="仿宋_GB2312" w:eastAsia="仿宋_GB2312" w:hAnsi="仿宋_GB2312" w:cs="仿宋_GB2312" w:hint="eastAsia"/>
          <w:sz w:val="32"/>
          <w:szCs w:val="32"/>
        </w:rPr>
        <w:t xml:space="preserve">石料</w:t>
      </w:r>
      <w:r>
        <w:rPr>
          <w:rFonts w:ascii="仿宋_GB2312" w:eastAsia="仿宋_GB2312" w:hAnsi="仿宋_GB2312" w:cs="仿宋_GB2312" w:hint="eastAsia"/>
          <w:sz w:val="32"/>
          <w:szCs w:val="32"/>
        </w:rPr>
        <w:t xml:space="preserve">用闪长岩</w:t>
      </w:r>
      <w:r w:rsidR="009443EE">
        <w:rPr>
          <w:rFonts w:ascii="仿宋_GB2312" w:eastAsia="仿宋_GB2312" w:hAnsi="仿宋_GB2312" w:cs="仿宋_GB2312" w:hint="eastAsia"/>
          <w:sz w:val="32"/>
          <w:szCs w:val="32"/>
        </w:rPr>
        <w:t xml:space="preserve">矿</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2.8 资源储量</w:t>
      </w:r>
      <w:r w:rsidR="006C2AC9">
        <w:rPr>
          <w:rFonts w:ascii="仿宋_GB2312" w:eastAsia="仿宋_GB2312" w:hAnsi="仿宋_GB2312" w:cs="仿宋_GB2312" w:hint="eastAsia"/>
          <w:sz w:val="32"/>
          <w:szCs w:val="32"/>
        </w:rPr>
        <w:t xml:space="preserve">及</w:t>
      </w:r>
      <w:r w:rsidR="006C2AC9">
        <w:rPr>
          <w:rFonts w:ascii="仿宋_GB2312" w:eastAsia="仿宋_GB2312" w:hAnsi="仿宋_GB2312" w:cs="仿宋_GB2312"/>
          <w:sz w:val="32"/>
          <w:szCs w:val="32"/>
        </w:rPr>
        <w:t xml:space="preserve">资源</w:t>
      </w:r>
      <w:r w:rsidR="006C2AC9">
        <w:rPr>
          <w:rFonts w:ascii="仿宋_GB2312" w:eastAsia="仿宋_GB2312" w:hAnsi="仿宋_GB2312" w:cs="仿宋_GB2312" w:hint="eastAsia"/>
          <w:sz w:val="32"/>
          <w:szCs w:val="32"/>
        </w:rPr>
        <w:t xml:space="preserve">开发</w:t>
      </w:r>
      <w:r w:rsidR="006C2AC9">
        <w:rPr>
          <w:rFonts w:ascii="仿宋_GB2312" w:eastAsia="仿宋_GB2312" w:hAnsi="仿宋_GB2312" w:cs="仿宋_GB2312"/>
          <w:sz w:val="32"/>
          <w:szCs w:val="32"/>
        </w:rPr>
        <w:t xml:space="preserve">利用</w:t>
      </w:r>
      <w:r>
        <w:rPr>
          <w:rFonts w:ascii="仿宋_GB2312" w:eastAsia="仿宋_GB2312" w:hAnsi="仿宋_GB2312" w:cs="仿宋_GB2312" w:hint="eastAsia"/>
          <w:sz w:val="32"/>
          <w:szCs w:val="32"/>
        </w:rPr>
        <w:t xml:space="preserve">情况：本次在采矿权范围内估算建筑石料用闪长岩矿推断资源量共6070.21万</w:t>
      </w:r>
      <w:r w:rsidRPr="006C2AC9" w:rsidR="006C2AC9">
        <w:rPr>
          <w:rFonts w:ascii="仿宋_GB2312" w:eastAsia="仿宋_GB2312" w:hAnsi="仿宋_GB2312" w:cs="仿宋_GB2312"/>
          <w:sz w:val="32"/>
          <w:szCs w:val="32"/>
        </w:rPr>
        <w:t xml:space="preserve">m</w:t>
      </w:r>
      <w:r w:rsidRPr="006C2AC9" w:rsidR="006C2AC9">
        <w:rPr>
          <w:rFonts w:ascii="Calibri" w:eastAsia="仿宋_GB2312" w:hAnsi="Calibri" w:cs="Calibri"/>
          <w:sz w:val="32"/>
          <w:szCs w:val="32"/>
        </w:rPr>
        <w:t xml:space="preserve">³</w:t>
      </w:r>
      <w:r>
        <w:rPr>
          <w:rFonts w:ascii="仿宋_GB2312" w:eastAsia="仿宋_GB2312" w:hAnsi="仿宋_GB2312" w:cs="仿宋_GB2312" w:hint="eastAsia"/>
          <w:sz w:val="32"/>
          <w:szCs w:val="32"/>
        </w:rPr>
        <w:t xml:space="preserve">。 小规模已开发利用，本次出让为整合采矿权挂牌出让。</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2.9 矿山生产规模：300万立方米/年</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2.10 出让年限：16.00年</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2.11 </w:t>
      </w:r>
      <w:r w:rsidR="006C2AC9">
        <w:rPr>
          <w:rFonts w:ascii="仿宋_GB2312" w:eastAsia="仿宋_GB2312" w:hAnsi="仿宋_GB2312" w:cs="仿宋_GB2312" w:hint="eastAsia"/>
          <w:sz w:val="32"/>
          <w:szCs w:val="32"/>
        </w:rPr>
        <w:t xml:space="preserve">竞买资质条件</w:t>
      </w:r>
      <w:r>
        <w:rPr>
          <w:rFonts w:ascii="仿宋_GB2312" w:eastAsia="仿宋_GB2312" w:hAnsi="仿宋_GB2312" w:cs="仿宋_GB2312" w:hint="eastAsia"/>
          <w:sz w:val="32"/>
          <w:szCs w:val="32"/>
        </w:rPr>
        <w:t xml:space="preserve">：</w:t>
      </w:r>
      <w:r w:rsidR="009F7102">
        <w:rPr>
          <w:rFonts w:ascii="仿宋_GB2312" w:eastAsia="仿宋_GB2312" w:hAnsi="仿宋_GB2312" w:cs="仿宋_GB2312" w:hint="eastAsia"/>
          <w:sz w:val="32"/>
          <w:szCs w:val="32"/>
        </w:rPr>
        <w:t xml:space="preserve">凡</w:t>
      </w:r>
      <w:r w:rsidR="006C2AC9">
        <w:rPr>
          <w:rFonts w:ascii="仿宋_GB2312" w:eastAsia="仿宋_GB2312" w:hAnsi="仿宋_GB2312" w:cs="仿宋_GB2312" w:hint="eastAsia"/>
          <w:sz w:val="32"/>
          <w:szCs w:val="32"/>
        </w:rPr>
        <w:t xml:space="preserve">在中华人民</w:t>
      </w:r>
      <w:r w:rsidR="006C2AC9">
        <w:rPr>
          <w:rFonts w:ascii="仿宋_GB2312" w:eastAsia="仿宋_GB2312" w:hAnsi="仿宋_GB2312" w:cs="仿宋_GB2312"/>
          <w:sz w:val="32"/>
          <w:szCs w:val="32"/>
        </w:rPr>
        <w:t xml:space="preserve">共和国境内</w:t>
      </w:r>
      <w:r w:rsidR="009F7102">
        <w:rPr>
          <w:rFonts w:ascii="仿宋_GB2312" w:eastAsia="仿宋_GB2312" w:hAnsi="仿宋_GB2312" w:cs="仿宋_GB2312" w:hint="eastAsia"/>
          <w:sz w:val="32"/>
          <w:szCs w:val="32"/>
        </w:rPr>
        <w:t xml:space="preserve">登记</w:t>
      </w:r>
      <w:r w:rsidR="006C2AC9">
        <w:rPr>
          <w:rFonts w:ascii="仿宋_GB2312" w:eastAsia="仿宋_GB2312" w:hAnsi="仿宋_GB2312" w:cs="仿宋_GB2312"/>
          <w:sz w:val="32"/>
          <w:szCs w:val="32"/>
        </w:rPr>
        <w:t xml:space="preserve">注册的</w:t>
      </w:r>
      <w:r w:rsidR="009F7102">
        <w:rPr>
          <w:rFonts w:ascii="仿宋_GB2312" w:eastAsia="仿宋_GB2312" w:hAnsi="仿宋_GB2312" w:cs="仿宋_GB2312" w:hint="eastAsia"/>
          <w:sz w:val="32"/>
          <w:szCs w:val="32"/>
        </w:rPr>
        <w:t xml:space="preserve">营利</w:t>
      </w:r>
      <w:r w:rsidR="006C2AC9">
        <w:rPr>
          <w:rFonts w:ascii="仿宋_GB2312" w:eastAsia="仿宋_GB2312" w:hAnsi="仿宋_GB2312" w:cs="仿宋_GB2312"/>
          <w:sz w:val="32"/>
          <w:szCs w:val="32"/>
        </w:rPr>
        <w:t xml:space="preserve">法人</w:t>
      </w:r>
      <w:r w:rsidR="009F7102">
        <w:rPr>
          <w:rFonts w:ascii="仿宋_GB2312" w:eastAsia="仿宋_GB2312" w:hAnsi="仿宋_GB2312" w:cs="仿宋_GB2312" w:hint="eastAsia"/>
          <w:sz w:val="32"/>
          <w:szCs w:val="32"/>
        </w:rPr>
        <w:t xml:space="preserve">均可参加</w:t>
      </w:r>
      <w:r w:rsidR="009F7102">
        <w:rPr>
          <w:rFonts w:ascii="仿宋_GB2312" w:eastAsia="仿宋_GB2312" w:hAnsi="仿宋_GB2312" w:cs="仿宋_GB2312"/>
          <w:sz w:val="32"/>
          <w:szCs w:val="32"/>
        </w:rPr>
        <w:t xml:space="preserve">购买</w:t>
      </w:r>
      <w:bookmarkStart w:id="0" w:name="_GoBack"/>
      <w:bookmarkEnd w:id="0"/>
      <w:r>
        <w:rPr>
          <w:rFonts w:ascii="仿宋_GB2312" w:eastAsia="仿宋_GB2312" w:hAnsi="仿宋_GB2312" w:cs="仿宋_GB2312" w:hint="eastAsia"/>
          <w:sz w:val="32"/>
          <w:szCs w:val="32"/>
        </w:rPr>
        <w:t xml:space="preserve">。</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2.12 竞买保证金：人民币</w:t>
      </w:r>
      <w:r w:rsidRPr="00086BBD" w:rsidR="00086BBD">
        <w:rPr>
          <w:rFonts w:ascii="仿宋_GB2312" w:eastAsia="仿宋_GB2312" w:hAnsi="仿宋_GB2312" w:cs="仿宋_GB2312" w:hint="eastAsia"/>
          <w:sz w:val="32"/>
          <w:szCs w:val="32"/>
        </w:rPr>
        <w:t xml:space="preserve">壹亿叁仟伍佰万元整</w:t>
      </w:r>
      <w:r>
        <w:rPr>
          <w:rFonts w:ascii="仿宋_GB2312" w:eastAsia="仿宋_GB2312" w:hAnsi="仿宋_GB2312" w:cs="仿宋_GB2312" w:hint="eastAsia"/>
          <w:sz w:val="32"/>
          <w:szCs w:val="32"/>
        </w:rPr>
        <w:t xml:space="preserve">（小写：￥</w:t>
      </w:r>
      <w:r w:rsidR="00733141">
        <w:rPr>
          <w:rFonts w:ascii="仿宋_GB2312" w:eastAsia="仿宋_GB2312" w:hAnsi="仿宋_GB2312" w:cs="仿宋_GB2312"/>
          <w:sz w:val="32"/>
          <w:szCs w:val="32"/>
        </w:rPr>
        <w:t xml:space="preserve">13500</w:t>
      </w:r>
      <w:r w:rsidR="00733141">
        <w:rPr>
          <w:rFonts w:ascii="仿宋_GB2312" w:eastAsia="仿宋_GB2312" w:hAnsi="仿宋_GB2312" w:cs="仿宋_GB2312" w:hint="eastAsia"/>
          <w:sz w:val="32"/>
          <w:szCs w:val="32"/>
        </w:rPr>
        <w:t xml:space="preserve">万</w:t>
      </w:r>
      <w:r>
        <w:rPr>
          <w:rFonts w:ascii="仿宋_GB2312" w:eastAsia="仿宋_GB2312" w:hAnsi="仿宋_GB2312" w:cs="仿宋_GB2312" w:hint="eastAsia"/>
          <w:sz w:val="32"/>
          <w:szCs w:val="32"/>
        </w:rPr>
        <w:t xml:space="preserve">元）</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3、相关时间规定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3.1 网上公告及报名申请时间：2021年</w:t>
      </w:r>
      <w:r w:rsidR="00086BBD">
        <w:rPr>
          <w:rFonts w:ascii="仿宋_GB2312" w:eastAsia="仿宋_GB2312" w:hAnsi="仿宋_GB2312" w:cs="仿宋_GB2312"/>
          <w:sz w:val="32"/>
          <w:szCs w:val="32"/>
        </w:rPr>
        <w:t xml:space="preserve">09</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24</w:t>
      </w:r>
      <w:r>
        <w:rPr>
          <w:rFonts w:ascii="仿宋_GB2312" w:eastAsia="仿宋_GB2312" w:hAnsi="仿宋_GB2312" w:cs="仿宋_GB2312" w:hint="eastAsia"/>
          <w:sz w:val="32"/>
          <w:szCs w:val="32"/>
        </w:rPr>
        <w:t xml:space="preserve">日 09时00分－2021年</w:t>
      </w:r>
      <w:r w:rsidR="00086BBD">
        <w:rPr>
          <w:rFonts w:ascii="仿宋_GB2312" w:eastAsia="仿宋_GB2312" w:hAnsi="仿宋_GB2312" w:cs="仿宋_GB2312"/>
          <w:sz w:val="32"/>
          <w:szCs w:val="32"/>
        </w:rPr>
        <w:t xml:space="preserve">10</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27</w:t>
      </w:r>
      <w:r>
        <w:rPr>
          <w:rFonts w:ascii="仿宋_GB2312" w:eastAsia="仿宋_GB2312" w:hAnsi="仿宋_GB2312" w:cs="仿宋_GB2312" w:hint="eastAsia"/>
          <w:sz w:val="32"/>
          <w:szCs w:val="32"/>
        </w:rPr>
        <w:t xml:space="preserve">日 17时00分。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3.2 缴纳竞买保证金截止时间：2021年</w:t>
      </w:r>
      <w:r w:rsidR="00086BBD">
        <w:rPr>
          <w:rFonts w:ascii="仿宋_GB2312" w:eastAsia="仿宋_GB2312" w:hAnsi="仿宋_GB2312" w:cs="仿宋_GB2312"/>
          <w:sz w:val="32"/>
          <w:szCs w:val="32"/>
        </w:rPr>
        <w:t xml:space="preserve">10</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27</w:t>
      </w:r>
      <w:r>
        <w:rPr>
          <w:rFonts w:ascii="仿宋_GB2312" w:eastAsia="仿宋_GB2312" w:hAnsi="仿宋_GB2312" w:cs="仿宋_GB2312" w:hint="eastAsia"/>
          <w:sz w:val="32"/>
          <w:szCs w:val="32"/>
        </w:rPr>
        <w:t xml:space="preserve">日</w:t>
      </w:r>
      <w:r w:rsidR="00E91E9B">
        <w:rPr>
          <w:rFonts w:ascii="仿宋_GB2312" w:eastAsia="仿宋_GB2312" w:hAnsi="仿宋_GB2312" w:cs="仿宋_GB2312"/>
          <w:sz w:val="32"/>
          <w:szCs w:val="32"/>
        </w:rPr>
        <w:t xml:space="preserve">17</w:t>
      </w:r>
      <w:r>
        <w:rPr>
          <w:rFonts w:ascii="仿宋_GB2312" w:eastAsia="仿宋_GB2312" w:hAnsi="仿宋_GB2312" w:cs="仿宋_GB2312" w:hint="eastAsia"/>
          <w:sz w:val="32"/>
          <w:szCs w:val="32"/>
        </w:rPr>
        <w:t xml:space="preserve">时00分。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竞买保证金应从基本账户转出，保证金缴纳系统将于上述截止时间自动关闭。在截止时间前，竞买人应及时缴纳</w:t>
      </w:r>
      <w:r>
        <w:rPr>
          <w:rFonts w:ascii="仿宋_GB2312" w:eastAsia="仿宋_GB2312" w:hAnsi="仿宋_GB2312" w:cs="仿宋_GB2312" w:hint="eastAsia"/>
          <w:sz w:val="32"/>
          <w:szCs w:val="32"/>
        </w:rPr>
        <w:t xml:space="preserve">竞买保证金并使用CA数字证书自行登录系统点击“保证金查询”按钮，完成竞买保证金的缴纳和查询工作并获取竞买号。未能及时完成缴纳或查询工作，将无法获取竞买号且无法参与竞买活动。请竞买人充分考虑网络延迟等因素造成银行到账时间与系统确认时间之间的差异，以免延误竞买资格。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3.3 网上挂牌开始时间：2021年</w:t>
      </w:r>
      <w:r w:rsidR="00086BBD">
        <w:rPr>
          <w:rFonts w:ascii="仿宋_GB2312" w:eastAsia="仿宋_GB2312" w:hAnsi="仿宋_GB2312" w:cs="仿宋_GB2312"/>
          <w:sz w:val="32"/>
          <w:szCs w:val="32"/>
        </w:rPr>
        <w:t xml:space="preserve">10</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28</w:t>
      </w:r>
      <w:r>
        <w:rPr>
          <w:rFonts w:ascii="仿宋_GB2312" w:eastAsia="仿宋_GB2312" w:hAnsi="仿宋_GB2312" w:cs="仿宋_GB2312" w:hint="eastAsia"/>
          <w:sz w:val="32"/>
          <w:szCs w:val="32"/>
        </w:rPr>
        <w:t xml:space="preserve">日 09时00分。</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3.4 网上挂牌截止时间：2021年</w:t>
      </w:r>
      <w:r w:rsidR="00086BBD">
        <w:rPr>
          <w:rFonts w:ascii="仿宋_GB2312" w:eastAsia="仿宋_GB2312" w:hAnsi="仿宋_GB2312" w:cs="仿宋_GB2312"/>
          <w:sz w:val="32"/>
          <w:szCs w:val="32"/>
        </w:rPr>
        <w:t xml:space="preserve">11</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11</w:t>
      </w:r>
      <w:r>
        <w:rPr>
          <w:rFonts w:ascii="仿宋_GB2312" w:eastAsia="仿宋_GB2312" w:hAnsi="仿宋_GB2312" w:cs="仿宋_GB2312" w:hint="eastAsia"/>
          <w:sz w:val="32"/>
          <w:szCs w:val="32"/>
        </w:rPr>
        <w:t xml:space="preserve">日 </w:t>
      </w:r>
      <w:r w:rsidR="00E8012C">
        <w:rPr>
          <w:rFonts w:ascii="仿宋_GB2312" w:eastAsia="仿宋_GB2312" w:hAnsi="仿宋_GB2312" w:cs="仿宋_GB2312"/>
          <w:sz w:val="32"/>
          <w:szCs w:val="32"/>
        </w:rPr>
        <w:t xml:space="preserve">10</w:t>
      </w:r>
      <w:r>
        <w:rPr>
          <w:rFonts w:ascii="仿宋_GB2312" w:eastAsia="仿宋_GB2312" w:hAnsi="仿宋_GB2312" w:cs="仿宋_GB2312" w:hint="eastAsia"/>
          <w:sz w:val="32"/>
          <w:szCs w:val="32"/>
        </w:rPr>
        <w:t xml:space="preserve">时</w:t>
      </w:r>
      <w:r w:rsidR="00E8012C">
        <w:rPr>
          <w:rFonts w:ascii="仿宋_GB2312" w:eastAsia="仿宋_GB2312" w:hAnsi="仿宋_GB2312" w:cs="仿宋_GB2312"/>
          <w:sz w:val="32"/>
          <w:szCs w:val="32"/>
        </w:rPr>
        <w:t xml:space="preserve">30</w:t>
      </w:r>
      <w:r>
        <w:rPr>
          <w:rFonts w:ascii="仿宋_GB2312" w:eastAsia="仿宋_GB2312" w:hAnsi="仿宋_GB2312" w:cs="仿宋_GB2312" w:hint="eastAsia"/>
          <w:sz w:val="32"/>
          <w:szCs w:val="32"/>
        </w:rPr>
        <w:t xml:space="preserve">分。</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3.5 挂牌期限届满，有两家以上（含两人）已报价的竞买人继续要求报价的，则该采矿权挂牌截止时，系统对该宗采矿权自动进入网上限时竞价程序，限时竞价依系统设定的程序进行，不受挂牌截止时间的限制，直至限时竞价结束。</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4、受让人应当承担下列可能存在的风险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4.1 资源量检测报告存在的虚假陈述、隐瞒或重大遗漏；</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 标的瑕疵的影响。采矿权投资存有不可预计的风险，出让人、网上挂牌人代表国家出让的是采矿的权利，挂牌出让文件所表述的有关矿体的规模、形态、储量、品位等可能与实际开采有差距，对此，出让人、网上挂牌人均不承担责任,竞买人参加竞买并提交申请，即视为竞买人对采矿权现状和出让文件已完全认可并自愿承担全部的风险责任；</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4.3 包括但不限于安全、环境保护等要求，对特定探矿手段的限制；</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4.4 国家产业政策或者矿产资源规划调整的影响；</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4.5 全权负责当地开采环境的协调等工作，使用的土地、草场、林地等竞买人应按有关法律法规办理相关手续；</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4.6 不可抗力的影响。   </w:t>
      </w:r>
    </w:p>
    <w:p>
      <w:pPr>
        <w:spacing w:line="580" w:lineRule="exact"/>
        <w:ind w:firstLine="954" w:firstLineChars="2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5、竞买申请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5.1 意向竞买人进入青海省电子招标投标公共服务平台（http://www.qhdzzbfw.gov.cn/fwpt/），点击“矿权及土地”栏目，浏览、查阅和下载网上挂牌文件；点击“交易平台→办事指南→下载中心”下载《矿业权竞买人操作手册》，并按《矿业权竞买人操作手册》要求进行申购竞买。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5.2 竞买人应在公告发布之日起到青海省政务服务监督管理局办理CA数字证书，并完善诚信库相关信息。 </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交易机构联系人:</w:t>
      </w:r>
      <w:r w:rsidR="0018390D">
        <w:rPr>
          <w:rFonts w:ascii="仿宋_GB2312" w:eastAsia="仿宋_GB2312" w:hAnsi="仿宋_GB2312" w:cs="仿宋_GB2312" w:hint="eastAsia"/>
          <w:sz w:val="32"/>
          <w:szCs w:val="32"/>
        </w:rPr>
        <w:t xml:space="preserve">徐女士</w:t>
      </w:r>
      <w:r>
        <w:rPr>
          <w:rFonts w:ascii="仿宋_GB2312" w:eastAsia="仿宋_GB2312" w:hAnsi="仿宋_GB2312" w:cs="仿宋_GB2312" w:hint="eastAsia"/>
          <w:sz w:val="32"/>
          <w:szCs w:val="32"/>
        </w:rPr>
        <w:t xml:space="preserve"> </w:t>
      </w:r>
      <w:r w:rsidR="0018390D">
        <w:rPr>
          <w:rFonts w:ascii="仿宋_GB2312" w:eastAsia="仿宋_GB2312" w:hAnsi="仿宋_GB2312" w:cs="仿宋_GB2312" w:hint="eastAsia"/>
          <w:sz w:val="32"/>
          <w:szCs w:val="32"/>
        </w:rPr>
        <w:t xml:space="preserve">星女士</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交易机构联系电话:0971-7661380</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委托人:西宁市湟中区自然资源局</w:t>
      </w:r>
    </w:p>
    <w:p>
      <w:pPr>
        <w:spacing w:line="580" w:lineRule="exact"/>
        <w:ind w:firstLine="634" w:firstLineChars="1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委托人联系方式:0971-2234882</w:t>
      </w:r>
    </w:p>
    <w:p>
      <w:pPr>
        <w:spacing w:line="580" w:lineRule="exact"/>
        <w:ind w:left="4478" w:hanging="3840" w:leftChars="304" w:hangingChars="1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技术支持电话: 0971-5115239            </w:t>
      </w:r>
    </w:p>
    <w:p>
      <w:pPr>
        <w:spacing w:line="580" w:lineRule="exact"/>
        <w:ind w:left="4478" w:hanging="3840" w:leftChars="304" w:hangingChars="1200"/>
        <w:jc w:val="left"/>
        <w:rPr>
          <w:rFonts w:ascii="仿宋_GB2312" w:eastAsia="仿宋_GB2312" w:hAnsi="仿宋_GB2312" w:cs="仿宋_GB2312"/>
          <w:sz w:val="32"/>
          <w:szCs w:val="32"/>
        </w:rPr>
      </w:pPr>
    </w:p>
    <w:p>
      <w:pPr>
        <w:spacing w:line="580" w:lineRule="exact"/>
        <w:ind w:left="4478" w:hanging="3840" w:leftChars="304" w:hangingChars="12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西宁市公共资源交易中心                                                  2021年</w:t>
      </w:r>
      <w:r w:rsidR="0018390D">
        <w:rPr>
          <w:rFonts w:ascii="仿宋_GB2312" w:eastAsia="仿宋_GB2312" w:hAnsi="仿宋_GB2312" w:cs="仿宋_GB2312"/>
          <w:sz w:val="32"/>
          <w:szCs w:val="32"/>
        </w:rPr>
        <w:t xml:space="preserve">09</w:t>
      </w:r>
      <w:r>
        <w:rPr>
          <w:rFonts w:ascii="仿宋_GB2312" w:eastAsia="仿宋_GB2312" w:hAnsi="仿宋_GB2312" w:cs="仿宋_GB2312" w:hint="eastAsia"/>
          <w:sz w:val="32"/>
          <w:szCs w:val="32"/>
        </w:rPr>
        <w:t xml:space="preserve">月</w:t>
      </w:r>
      <w:r w:rsidR="008B3239">
        <w:rPr>
          <w:rFonts w:ascii="仿宋_GB2312" w:eastAsia="仿宋_GB2312" w:hAnsi="仿宋_GB2312" w:cs="仿宋_GB2312"/>
          <w:sz w:val="32"/>
          <w:szCs w:val="32"/>
        </w:rPr>
        <w:t xml:space="preserve">24</w:t>
      </w:r>
      <w:r>
        <w:rPr>
          <w:rFonts w:ascii="仿宋_GB2312" w:eastAsia="仿宋_GB2312" w:hAnsi="仿宋_GB2312" w:cs="仿宋_GB2312" w:hint="eastAsia"/>
          <w:sz w:val="32"/>
          <w:szCs w:val="32"/>
        </w:rPr>
        <w:t xml:space="preserve">日</w:t>
      </w:r>
    </w:p>
    <w:p>
      <w:pPr>
        <w:jc w:val="right"/>
      </w:pPr>
    </w:p>
    <w:sectPr>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monospace">
    <w:altName w:val="Segoe Print"/>
    <w:panose1 w:val="00000000000000000000"/>
    <w:charset w:val="00"/>
    <w:family w:val="Auto"/>
    <w:pitch w:val="default"/>
    <w:sig w:usb0="00000000" w:usb1="00000000" w:usb2="00000000" w:usb3="00000000" w:csb0="00000000" w:csb1="00000000"/>
  </w:font>
  <w:font w:name="黑体">
    <w:altName w:val="SimHei"/>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10" w:usb3="00000000" w:csb0="00040000" w:csb1="00000000"/>
  </w:font>
  <w:font w:name="方正仿宋_GBK">
    <w:altName w:val="微软雅黑"/>
    <w:panose1 w:val="00000000000000000000"/>
    <w:charset w:val="7A"/>
    <w:family w:val="Auto"/>
    <w:pitch w:val="default"/>
    <w:sig w:usb0="00000000" w:usb1="00000000" w:usb2="00000000" w:usb3="00000000" w:csb0="00040000" w:csb1="00000000"/>
  </w:font>
  <w:font w:name="Arial">
    <w:panose1 w:val="020B0604020202020204"/>
    <w:charset w:val="00"/>
    <w:family w:val="Auto"/>
    <w:pitch w:val="variable"/>
    <w:sig w:usb0="E0002AFF" w:usb1="C0007843" w:usb2="00000009" w:usb3="00000000" w:csb0="000001FF" w:csb1="00000000"/>
  </w:font>
  <w:font w:name="微软雅黑">
    <w:panose1 w:val="020B0503020204020204"/>
    <w:charset w:val="86"/>
    <w:family w:val="Auto"/>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rPr>
  </w:style>
  <w:style w:type="paragraph" w:styleId="Heading3">
    <w:name w:val="Heading 3"/>
    <w:basedOn w:val="Normal"/>
    <w:next w:val="Normal"/>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样式标题3+首行缩进:2字符">
    <w:name w:val="样式 标题 3 + 首行缩进:  2 字符"/>
    <w:basedOn w:val="Heading3"/>
    <w:qFormat/>
    <w:pPr>
      <w:spacing w:before="0" w:after="0" w:line="480" w:lineRule="exact"/>
      <w:jc w:val="left"/>
    </w:pPr>
    <w:rPr>
      <w:sz w:val="28"/>
      <w:szCs w:val="28"/>
      <w:lang w:bidi="ar-DZ"/>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none"/>
    </w:rPr>
  </w:style>
  <w:style w:type="character" w:styleId="Emphasis">
    <w:name w:val="Emphasis"/>
    <w:basedOn w:val="DefaultParagraphFont"/>
    <w:uiPriority w:val="20"/>
    <w:qFormat/>
    <w:rPr>
      <w:b/>
      <w:bCs/>
    </w:rPr>
  </w:style>
  <w:style w:type="character" w:styleId="HTMLDefinition">
    <w:name w:val="HTML Definition"/>
    <w:basedOn w:val="DefaultParagraphFont"/>
    <w:uiPriority w:val="99"/>
    <w:semiHidden/>
    <w:unhideWhenUsed/>
    <w:rPr/>
  </w:style>
  <w:style w:type="character" w:styleId="HTMLTypeOutput">
    <w:name w:val="HTML Typewriter"/>
    <w:basedOn w:val="DefaultParagraphFont"/>
    <w:uiPriority w:val="99"/>
    <w:semiHidden/>
    <w:unhideWhenUsed/>
    <w:rPr>
      <w:rFonts w:ascii="monospace" w:eastAsia="monospace" w:hAnsi="monospace" w:cs="monospace" w:hint="default"/>
      <w:sz w:val="20"/>
    </w:rPr>
  </w:style>
  <w:style w:type="character" w:styleId="HTMLAcronym">
    <w:name w:val="HTML Acronym"/>
    <w:basedOn w:val="DefaultParagraphFont"/>
    <w:uiPriority w:val="99"/>
    <w:semiHidden/>
    <w:unhideWhenUsed/>
    <w:rPr>
      <w:bdr w:val="none" w:sz="0" w:space="0" w:color="auto"/>
    </w:rPr>
  </w:style>
  <w:style w:type="character" w:styleId="HTMLVariable">
    <w:name w:val="HTML Variable"/>
    <w:basedOn w:val="DefaultParagraphFont"/>
    <w:uiPriority w:val="99"/>
    <w:semiHidden/>
    <w:unhideWhenUsed/>
    <w:rPr/>
  </w:style>
  <w:style w:type="character" w:styleId="Hyperlink">
    <w:name w:val="Hyperlink"/>
    <w:basedOn w:val="DefaultParagraphFont"/>
    <w:uiPriority w:val="99"/>
    <w:semiHidden/>
    <w:unhideWhenUsed/>
    <w:rPr>
      <w:color w:val="0000FF"/>
      <w:u w:val="none"/>
    </w:rPr>
  </w:style>
  <w:style w:type="character" w:styleId="HTMLCode">
    <w:name w:val="HTML Code"/>
    <w:basedOn w:val="DefaultParagraphFont"/>
    <w:uiPriority w:val="99"/>
    <w:semiHidden/>
    <w:unhideWhenUsed/>
    <w:rPr>
      <w:rFonts w:ascii="monospace" w:eastAsia="monospace" w:hAnsi="monospace" w:cs="monospace" w:hint="default"/>
      <w:sz w:val="20"/>
      <w:bdr w:val="none" w:sz="0" w:space="0" w:color="auto"/>
    </w:rPr>
  </w:style>
  <w:style w:type="character" w:styleId="HTMLCite">
    <w:name w:val="HTML Cite"/>
    <w:basedOn w:val="DefaultParagraphFont"/>
    <w:uiPriority w:val="99"/>
    <w:semiHidden/>
    <w:unhideWhenUsed/>
    <w:rPr/>
  </w:style>
  <w:style w:type="character" w:styleId="HTMLKeyboard">
    <w:name w:val="HTML Keyboard"/>
    <w:basedOn w:val="DefaultParagraphFont"/>
    <w:uiPriority w:val="99"/>
    <w:semiHidden/>
    <w:unhideWhenUsed/>
    <w:rPr>
      <w:rFonts w:ascii="monospace" w:eastAsia="monospace" w:hAnsi="monospace" w:cs="monospace" w:hint="default"/>
      <w:sz w:val="20"/>
    </w:rPr>
  </w:style>
  <w:style w:type="character" w:styleId="HTMLSample">
    <w:name w:val="HTML Sample"/>
    <w:basedOn w:val="DefaultParagraphFont"/>
    <w:uiPriority w:val="99"/>
    <w:semiHidden/>
    <w:unhideWhenUsed/>
    <w:rPr>
      <w:rFonts w:ascii="monospace" w:eastAsia="monospace" w:hAnsi="monospace" w:cs="monospace"/>
    </w:rPr>
  </w:style>
  <w:style w:type="paragraph" w:styleId="Header">
    <w:name w:val="Header"/>
    <w:basedOn w:val="Normal"/>
    <w:uiPriority w:val="99"/>
    <w:unhideWhenUsed/>
    <w:rsid w:val="00223AAA"/>
    <w:pPr>
      <w:pBdr>
        <w:bottom w:val="single" w:sz="6" w:space="1" w:color="auto"/>
      </w:pBdr>
      <w:tabs>
        <w:tab w:val="center" w:pos="4153"/>
        <w:tab w:val="right" w:pos="8306"/>
      </w:tabs>
      <w:snapToGrid w:val="0"/>
      <w:jc w:val="center"/>
    </w:pPr>
    <w:rPr>
      <w:sz w:val="18"/>
      <w:szCs w:val="18"/>
    </w:rPr>
  </w:style>
  <w:style w:type="character" w:customStyle="1" w:styleId="页眉字符">
    <w:name w:val="页眉 字符"/>
    <w:basedOn w:val="DefaultParagraphFont"/>
    <w:uiPriority w:val="99"/>
    <w:rsid w:val="00223AAA"/>
    <w:rPr>
      <w:rFonts w:ascii="Calibri" w:eastAsia="宋体" w:hAnsi="Calibri" w:asciiTheme="minorHAnsi" w:eastAsiaTheme="minorEastAsia" w:hAnsiTheme="minorHAnsi" w:cs="Arial" w:cstheme="minorBidi"/>
      <w:kern w:val="2"/>
      <w:sz w:val="18"/>
      <w:szCs w:val="18"/>
    </w:rPr>
  </w:style>
  <w:style w:type="paragraph" w:styleId="Footer">
    <w:name w:val="Footer"/>
    <w:basedOn w:val="Normal"/>
    <w:uiPriority w:val="99"/>
    <w:unhideWhenUsed/>
    <w:rsid w:val="00223AAA"/>
    <w:pPr>
      <w:tabs>
        <w:tab w:val="center" w:pos="4153"/>
        <w:tab w:val="right" w:pos="8306"/>
      </w:tabs>
      <w:snapToGrid w:val="0"/>
      <w:jc w:val="left"/>
    </w:pPr>
    <w:rPr>
      <w:sz w:val="18"/>
      <w:szCs w:val="18"/>
    </w:rPr>
  </w:style>
  <w:style w:type="character" w:customStyle="1" w:styleId="页脚字符">
    <w:name w:val="页脚 字符"/>
    <w:basedOn w:val="DefaultParagraphFont"/>
    <w:uiPriority w:val="99"/>
    <w:rsid w:val="00223AAA"/>
    <w:rPr>
      <w:rFonts w:ascii="Calibri" w:eastAsia="宋体" w:hAnsi="Calibri" w:asciiTheme="minorHAnsi" w:eastAsiaTheme="minorEastAsia" w:hAnsiTheme="minorHAnsi" w:cs="Arial" w:cstheme="minorBidi"/>
      <w:kern w:val="2"/>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10.xml><?xml version="1.0" encoding="utf-8"?>
<s:customData xmlns="http://www.wps.cn/officeDocument/2013/wpsCustomData" xmlns:s="http://www.wps.cn/officeDocument/2013/wpsCustomData">
  <customSectProps>
    <customSectPr/>
  </customSectProps>
</s:customData>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A33A54CED3A349A996A2CFC62FC666D1</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247</TotalTime>
  <Pages>4</Pages>
  <Words>332</Words>
  <Characters>1895</Characters>
  <Application>Microsoft Office Word</Application>
  <DocSecurity>0</DocSecurity>
  <Lines>15</Lines>
  <Paragraphs>4</Paragraphs>
  <Company>微软中国</Company>
  <CharactersWithSpaces>2223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微软用户</cp:lastModifiedBy>
  <cp:revision>22</cp:revision>
  <dcterms:created xsi:type="dcterms:W3CDTF">2021-06-17T00:47:00Z</dcterms:created>
  <dcterms:modified xsi:type="dcterms:W3CDTF">2021-09-23T06:30:00Z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2052-11.1.0.10577</vt:lpstr>
  </property>
  <property fmtid="{D5CDD505-2E9C-101B-9397-08002B2CF9AE}" pid="3" name="ICV">
    <vt:lpstr>A33A54CED3A349A996A2CFC62FC666D1</vt:lpstr>
  </property>
</Properties>
</file>