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spacing w:line="440" w:lineRule="atLeast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西宁市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湟中区海子沟乡总堡村</w:t>
      </w:r>
    </w:p>
    <w:p>
      <w:pPr>
        <w:spacing w:line="440" w:lineRule="atLeast"/>
        <w:jc w:val="center"/>
        <w:rPr>
          <w:rFonts w:hint="default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损坏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道路修复</w:t>
      </w: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工程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项目</w:t>
      </w:r>
    </w:p>
    <w:p>
      <w:pPr>
        <w:pStyle w:val="4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pStyle w:val="4"/>
        <w:rPr>
          <w:rFonts w:hint="eastAsia" w:ascii="黑体" w:hAnsi="黑体" w:eastAsia="黑体" w:cs="黑体"/>
        </w:rPr>
      </w:pPr>
    </w:p>
    <w:p>
      <w:pPr>
        <w:pStyle w:val="4"/>
        <w:ind w:left="0" w:leftChars="0" w:firstLine="0" w:firstLineChars="0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rPr>
          <w:rFonts w:hint="eastAsia" w:ascii="黑体" w:hAnsi="黑体" w:eastAsia="黑体" w:cs="黑体"/>
          <w:sz w:val="44"/>
          <w:szCs w:val="44"/>
        </w:rPr>
      </w:pPr>
    </w:p>
    <w:p>
      <w:pPr>
        <w:spacing w:line="440" w:lineRule="atLeast"/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实</w:t>
      </w:r>
    </w:p>
    <w:p>
      <w:pPr>
        <w:spacing w:line="440" w:lineRule="atLeast"/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spacing w:line="440" w:lineRule="atLeast"/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施</w:t>
      </w:r>
    </w:p>
    <w:p>
      <w:pPr>
        <w:pStyle w:val="4"/>
        <w:rPr>
          <w:rFonts w:hint="eastAsia" w:ascii="黑体" w:hAnsi="黑体" w:eastAsia="黑体" w:cs="黑体"/>
          <w:lang w:eastAsia="zh-CN"/>
        </w:rPr>
      </w:pPr>
    </w:p>
    <w:p>
      <w:pPr>
        <w:spacing w:line="440" w:lineRule="atLeast"/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方</w:t>
      </w:r>
    </w:p>
    <w:p>
      <w:pPr>
        <w:pStyle w:val="4"/>
        <w:rPr>
          <w:rFonts w:hint="eastAsia" w:ascii="黑体" w:hAnsi="黑体" w:eastAsia="黑体" w:cs="黑体"/>
          <w:lang w:eastAsia="zh-CN"/>
        </w:rPr>
      </w:pPr>
    </w:p>
    <w:p>
      <w:pPr>
        <w:spacing w:line="440" w:lineRule="atLeast"/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案</w:t>
      </w:r>
    </w:p>
    <w:p>
      <w:pPr>
        <w:pStyle w:val="2"/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t xml:space="preserve">    项目主管单位：西宁市湟中区乡村振兴局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t xml:space="preserve">    项目责任单位：西宁市湟中区海子沟乡人民政府</w:t>
      </w:r>
    </w:p>
    <w:p>
      <w:pPr>
        <w:numPr>
          <w:ilvl w:val="0"/>
          <w:numId w:val="0"/>
        </w:numPr>
        <w:ind w:firstLine="722"/>
        <w:jc w:val="both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722"/>
        <w:jc w:val="both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t>二〇二一年五月</w:t>
      </w: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sdt>
      <w:sdtPr>
        <w:rPr>
          <w:rFonts w:hint="eastAsia" w:ascii="仿宋_GB2312" w:hAnsi="仿宋_GB2312" w:eastAsia="仿宋_GB2312" w:cs="仿宋_GB2312"/>
          <w:b w:val="0"/>
          <w:bCs w:val="0"/>
          <w:kern w:val="2"/>
          <w:sz w:val="52"/>
          <w:szCs w:val="52"/>
          <w:lang w:val="en-US" w:eastAsia="zh-CN" w:bidi="ar-SA"/>
        </w:rPr>
        <w:id w:val="147458196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b w:val="0"/>
          <w:bCs/>
          <w:kern w:val="2"/>
          <w:sz w:val="21"/>
          <w:szCs w:val="44"/>
          <w:lang w:val="en-US" w:eastAsia="zh-CN" w:bidi="ar-SA"/>
        </w:rPr>
      </w:sdtEndPr>
      <w:sdtContent>
        <w:p>
          <w:pPr>
            <w:pStyle w:val="7"/>
            <w:tabs>
              <w:tab w:val="right" w:leader="dot" w:pos="8845"/>
            </w:tabs>
            <w:jc w:val="center"/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52"/>
              <w:szCs w:val="52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52"/>
              <w:szCs w:val="52"/>
              <w:lang w:val="en-US" w:eastAsia="zh-CN" w:bidi="ar-SA"/>
            </w:rPr>
            <w:t>目  录</w:t>
          </w:r>
        </w:p>
        <w:p>
          <w:pPr>
            <w:pStyle w:val="7"/>
            <w:tabs>
              <w:tab w:val="right" w:leader="dot" w:pos="8845"/>
            </w:tabs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2"/>
              <w:szCs w:val="32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2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2"/>
              <w:szCs w:val="32"/>
              <w:lang w:val="en-US" w:eastAsia="zh-CN" w:bidi="ar-SA"/>
            </w:rPr>
            <w:instrText xml:space="preserve">TOC \o "1-1" \h \u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2"/>
              <w:szCs w:val="32"/>
              <w:lang w:val="en-US" w:eastAsia="zh-CN" w:bidi="ar-SA"/>
            </w:rPr>
            <w:fldChar w:fldCharType="separate"/>
          </w:r>
        </w:p>
        <w:p>
          <w:pPr>
            <w:pStyle w:val="7"/>
            <w:tabs>
              <w:tab w:val="right" w:leader="dot" w:pos="8845"/>
            </w:tabs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instrText xml:space="preserve"> HYPERLINK \l _Toc14260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>一、项目概况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>1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845"/>
            </w:tabs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instrText xml:space="preserve"> HYPERLINK \l _Toc24194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>二、项目建设的必要性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>3</w:t>
          </w:r>
        </w:p>
        <w:p>
          <w:pPr>
            <w:pStyle w:val="7"/>
            <w:tabs>
              <w:tab w:val="right" w:leader="dot" w:pos="8845"/>
            </w:tabs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instrText xml:space="preserve"> HYPERLINK \l _Toc24520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>三、建设期限与绩效目标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>4</w:t>
          </w:r>
        </w:p>
        <w:p>
          <w:pPr>
            <w:rPr>
              <w:rFonts w:hint="eastAsia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>四、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caps/>
              <w:kern w:val="2"/>
              <w:sz w:val="36"/>
              <w:szCs w:val="36"/>
              <w:lang w:val="en-US" w:eastAsia="zh-CN" w:bidi="ar-SA"/>
            </w:rPr>
            <w:t>项目现场勘探情况及建设条件分析</w:t>
          </w:r>
        </w:p>
        <w:p>
          <w:pPr>
            <w:pStyle w:val="7"/>
            <w:tabs>
              <w:tab w:val="right" w:leader="dot" w:pos="8845"/>
            </w:tabs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instrText xml:space="preserve"> HYPERLINK \l _Toc12433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>五、组织管理与运行机制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>7</w:t>
          </w:r>
        </w:p>
        <w:p>
          <w:pPr>
            <w:pStyle w:val="7"/>
            <w:tabs>
              <w:tab w:val="right" w:leader="dot" w:pos="8845"/>
            </w:tabs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instrText xml:space="preserve"> HYPERLINK \l _Toc24406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>六、竣工验收及决算</w:t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6"/>
              <w:szCs w:val="36"/>
              <w:lang w:val="en-US" w:eastAsia="zh-CN" w:bidi="ar-SA"/>
            </w:rPr>
            <w:t>8</w:t>
          </w:r>
        </w:p>
        <w:p>
          <w:pPr>
            <w:pStyle w:val="7"/>
            <w:tabs>
              <w:tab w:val="right" w:leader="dot" w:pos="8845"/>
            </w:tabs>
            <w:rPr>
              <w:rFonts w:hint="eastAsia" w:ascii="仿宋_GB2312" w:hAnsi="仿宋_GB2312" w:eastAsia="仿宋_GB2312" w:cs="仿宋_GB2312"/>
              <w:b/>
              <w:bCs/>
              <w:sz w:val="44"/>
              <w:szCs w:val="44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kern w:val="2"/>
              <w:sz w:val="32"/>
              <w:szCs w:val="32"/>
              <w:lang w:val="en-US" w:eastAsia="zh-CN" w:bidi="ar-SA"/>
            </w:rPr>
            <w:fldChar w:fldCharType="end"/>
          </w:r>
        </w:p>
      </w:sdtContent>
    </w:sdt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0"/>
        <w:rPr>
          <w:rFonts w:hint="eastAsia" w:ascii="方正小标宋简体" w:hAnsi="方正小标宋简体" w:eastAsia="方正小标宋简体" w:cs="方正小标宋简体"/>
          <w:bCs/>
          <w:sz w:val="42"/>
          <w:szCs w:val="42"/>
          <w:lang w:val="en-US" w:eastAsia="zh-CN"/>
        </w:rPr>
      </w:pPr>
      <w:bookmarkStart w:id="0" w:name="_Toc9695"/>
      <w:r>
        <w:rPr>
          <w:rFonts w:hint="eastAsia" w:ascii="方正小标宋简体" w:hAnsi="方正小标宋简体" w:eastAsia="方正小标宋简体" w:cs="方正小标宋简体"/>
          <w:bCs/>
          <w:sz w:val="42"/>
          <w:szCs w:val="42"/>
          <w:lang w:val="en-US" w:eastAsia="zh-CN"/>
        </w:rPr>
        <w:t>西宁市湟中区</w:t>
      </w:r>
      <w:bookmarkEnd w:id="0"/>
      <w:bookmarkStart w:id="1" w:name="_Toc31744"/>
      <w:r>
        <w:rPr>
          <w:rFonts w:hint="eastAsia" w:ascii="方正小标宋简体" w:hAnsi="方正小标宋简体" w:eastAsia="方正小标宋简体" w:cs="方正小标宋简体"/>
          <w:bCs/>
          <w:sz w:val="42"/>
          <w:szCs w:val="42"/>
          <w:lang w:val="en-US" w:eastAsia="zh-CN"/>
        </w:rPr>
        <w:t>海子沟乡总堡村损坏道路修复工程项目实施方案</w:t>
      </w:r>
      <w:bookmarkEnd w:id="1"/>
      <w:bookmarkStart w:id="2" w:name="_Toc14260"/>
    </w:p>
    <w:p>
      <w:pPr>
        <w:numPr>
          <w:ilvl w:val="0"/>
          <w:numId w:val="0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一、项目概况</w:t>
      </w:r>
      <w:bookmarkEnd w:id="2"/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（一）项目名称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西宁市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湟中区海子沟乡总堡村损坏道路修复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工程项目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（二）项目主管单位</w:t>
      </w:r>
    </w:p>
    <w:p>
      <w:pPr>
        <w:spacing w:line="580" w:lineRule="exact"/>
        <w:ind w:firstLine="640" w:firstLineChars="200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西宁市湟中区乡村振兴局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（三）项目责任单位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西宁市湟中区海子沟乡人民政府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（四）实施地点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海子沟乡总堡村一社及总堡村四、五社。</w:t>
      </w:r>
    </w:p>
    <w:p>
      <w:pPr>
        <w:numPr>
          <w:ilvl w:val="0"/>
          <w:numId w:val="2"/>
        </w:numPr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建设性质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原址翻建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（六）项目类别</w:t>
      </w:r>
    </w:p>
    <w:p>
      <w:pPr>
        <w:spacing w:line="580" w:lineRule="exact"/>
        <w:ind w:firstLine="640" w:firstLineChars="200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基础设施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（七）项目建设内容及规模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建设内容：1、修复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总堡村上灰条（一社）雨水损毁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砼浇筑路面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570米，包含原有损毁道路拆除、铺设砂砾层、制作安装混凝土浇筑的排水沟、土方开挖、回填、重新浇筑砼及部分护坡工程。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砼浇筑路面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设计宽度4米，厚度200毫米，预计需要混凝土456立方米、砂石垫层570立方米；沿道路建设混凝土排水边渠570米，边渠宽400毫米，深350毫米，预计需要混凝土136.8立方米、土方开挖427.5立方米；依山体路段建设挡土石墙35米，其中石墙基础宽度4米，高度7米，预计石块及混凝土为980立方米；土方开挖后回填压实预计为4788立方米。混凝土标号均为C25。2、修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总堡村普通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2号坝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周边（四、五社）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塌陷道路68米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以及道路砼浇筑路面共计70米。包括土方开挖2999立方米；C20 混凝土垫层23.8l立方米；C30 钢筋混凝土基础119 立方米；毛石挡土墙68米，毛石挡土墙垂直高度为10米，底宽为 3.5 米，顶宽为0.75米，合计 1316立方米；土方回填压实9000 立方米；毛石挡土墙顶部压顶C30混凝土10.2立方米； 沿边坡恢复道路长度为70米，宽度3米，合计210平方米； 沿道路路边设排水明沟为68米。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建设规模：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1、修复总堡村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上灰条（一社）雨水冲毁生产道路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570米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排水沟570米及挡土石墙工程，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损毁道路均在原损坏区域建设。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总堡村普通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2号坝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周边（四、五社）塌陷道路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共计 68 米以及道路砼浇筑路面共计 70 米，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损毁道路均在原损坏区域建设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（八）投资估算及资金筹措</w:t>
      </w:r>
    </w:p>
    <w:p>
      <w:pPr>
        <w:numPr>
          <w:ilvl w:val="0"/>
          <w:numId w:val="0"/>
        </w:numPr>
        <w:ind w:leftChars="0" w:firstLine="640" w:firstLineChars="200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项目总投资约为225.55万元，其中总堡村上灰条（一社）雨水损毁生产道路投资约为141.63万元（含招投标、税费、施工项目等所有费用）；总堡村普通2号坝周边（四、五社）塌陷道路投资约为106.92（5万）万元（含招投标、税费、施工项目等所有费用），全部为中央财政衔接推进乡村振兴补助资金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（九）项目建设期限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2021年5</w:t>
      </w:r>
      <w:bookmarkStart w:id="11" w:name="_GoBack"/>
      <w:bookmarkEnd w:id="11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月至2021年12月。</w:t>
      </w:r>
    </w:p>
    <w:p>
      <w:pPr>
        <w:numPr>
          <w:ilvl w:val="0"/>
          <w:numId w:val="0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bookmarkStart w:id="3" w:name="_Toc24194"/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二、项目建设的必要性</w:t>
      </w:r>
      <w:bookmarkEnd w:id="3"/>
    </w:p>
    <w:p>
      <w:pPr>
        <w:numPr>
          <w:ilvl w:val="0"/>
          <w:numId w:val="0"/>
        </w:numPr>
        <w:ind w:firstLine="640" w:firstLineChars="200"/>
        <w:outlineLvl w:val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4" w:name="_Toc24520"/>
      <w:bookmarkStart w:id="5" w:name="_Toc1736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由于海子沟乡大部分区域土质疏松，且遭遇连续降雨，导致总堡村一社及四、五社两处出现较为严重的道路损毁、塌陷等现象，其中68米道路严重损毁并且道路底部悬空，影响119户472名农户正常出行，2户农户宅基地存在滑坡等重大安全隐患，此外还影响到1800亩土地耕种，造成直接经济损失约180万元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三、建设期限与绩效目标</w:t>
      </w:r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（一）绩效目标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1、准备阶段（2021年5月至2021年6月）：完成项目报批等前期准备工作。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2、实施阶段（2021年7月至2021年10月）：项目施工建设，完成全部建设。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Chars="0" w:firstLine="640" w:firstLineChars="200"/>
        <w:textAlignment w:val="auto"/>
        <w:rPr>
          <w:rFonts w:hint="default" w:ascii="黑体" w:hAnsi="黑体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3、验收阶段（2021年11月至2021年12月）：在完成自验自查的基础上，查漏补缺，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并由责任单位进行验收。</w:t>
      </w:r>
    </w:p>
    <w:p>
      <w:pPr>
        <w:numPr>
          <w:ilvl w:val="0"/>
          <w:numId w:val="0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四、项目现场勘探情况及建设条件分析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总堡村上灰条（一社）因山体土质属于黄土，较为疏松，土质粘性小，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易发生山体滑坡，导致道路断裂、塌陷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群众生产生活受到影响。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施工所在区域地处半山腰处，道路及场地狭窄，坡度较大，作业难度较高，且易受到阵雨等的影响。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附现状图如下：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eastAsia" w:ascii="方正黑体简体" w:hAnsi="方正黑体简体" w:eastAsia="方正黑体简体" w:cs="方正黑体简体"/>
          <w:color w:val="auto"/>
          <w:sz w:val="24"/>
          <w:szCs w:val="24"/>
          <w:lang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sz w:val="24"/>
          <w:szCs w:val="2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35560</wp:posOffset>
            </wp:positionV>
            <wp:extent cx="5234940" cy="3328035"/>
            <wp:effectExtent l="0" t="0" r="3810" b="5715"/>
            <wp:wrapTight wrapText="bothSides">
              <wp:wrapPolygon>
                <wp:start x="0" y="0"/>
                <wp:lineTo x="0" y="21513"/>
                <wp:lineTo x="21537" y="21513"/>
                <wp:lineTo x="21537" y="0"/>
                <wp:lineTo x="0" y="0"/>
              </wp:wrapPolygon>
            </wp:wrapTight>
            <wp:docPr id="11" name="图片 11" descr="C:/Users/Administrator/AppData/Local/Temp/picturecompress_2021060315384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AppData/Local/Temp/picturecompress_20210603153843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eastAsia" w:ascii="方正黑体简体" w:hAnsi="方正黑体简体" w:eastAsia="方正黑体简体" w:cs="方正黑体简体"/>
          <w:color w:val="auto"/>
          <w:sz w:val="24"/>
          <w:szCs w:val="24"/>
          <w:lang w:eastAsia="zh-CN"/>
        </w:rPr>
      </w:pPr>
    </w:p>
    <w:p>
      <w:pPr>
        <w:pStyle w:val="4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Chars="0" w:firstLine="643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34290</wp:posOffset>
            </wp:positionV>
            <wp:extent cx="5234940" cy="3559810"/>
            <wp:effectExtent l="0" t="0" r="3810" b="2540"/>
            <wp:wrapTight wrapText="bothSides">
              <wp:wrapPolygon>
                <wp:start x="0" y="0"/>
                <wp:lineTo x="0" y="21500"/>
                <wp:lineTo x="21537" y="21500"/>
                <wp:lineTo x="21537" y="0"/>
                <wp:lineTo x="0" y="0"/>
              </wp:wrapPolygon>
            </wp:wrapTight>
            <wp:docPr id="12" name="图片 12" descr="C:/Users/Administrator/AppData/Local/Temp/picturecompress_2021060315390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AppData/Local/Temp/picturecompress_20210603153905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总堡村普通 2 号坝周边道路在多年的使用过程中，受到自然环境与气候条件的影响，坝体周边道路的顶部或坡体边缘出现裂缝，裂缝两端逐渐向坡体下部弯曲，与其他较小裂缝出现上下错动，造成滑坡及道路中断，已设置警戒线，严防群众在此段道路通行。施工所在区域交通便利，场地开阔，施工条件相对较好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附现状图如下：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3395980</wp:posOffset>
            </wp:positionV>
            <wp:extent cx="5198110" cy="3194050"/>
            <wp:effectExtent l="0" t="0" r="2540" b="6350"/>
            <wp:wrapNone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29210</wp:posOffset>
            </wp:positionV>
            <wp:extent cx="5208270" cy="3173095"/>
            <wp:effectExtent l="0" t="0" r="11430" b="8255"/>
            <wp:wrapSquare wrapText="bothSides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4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4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附修复后效果图如下：</w:t>
      </w:r>
    </w:p>
    <w:p>
      <w:pPr>
        <w:pStyle w:val="4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textAlignment w:val="auto"/>
        <w:rPr>
          <w:rFonts w:hint="eastAsia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-574675</wp:posOffset>
            </wp:positionV>
            <wp:extent cx="3854450" cy="5216525"/>
            <wp:effectExtent l="0" t="0" r="3175" b="12700"/>
            <wp:wrapTight wrapText="bothSides">
              <wp:wrapPolygon>
                <wp:start x="4" y="21600"/>
                <wp:lineTo x="21461" y="21600"/>
                <wp:lineTo x="21461" y="66"/>
                <wp:lineTo x="4" y="66"/>
                <wp:lineTo x="4" y="21600"/>
              </wp:wrapPolygon>
            </wp:wrapTight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4450" cy="52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bookmarkStart w:id="6" w:name="_Toc36192207"/>
      <w:bookmarkStart w:id="7" w:name="_Toc12433"/>
      <w:bookmarkStart w:id="8" w:name="_Toc293911116"/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五、组织管理</w:t>
      </w:r>
      <w:bookmarkEnd w:id="6"/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与运行机制</w:t>
      </w:r>
      <w:bookmarkEnd w:id="7"/>
      <w:bookmarkEnd w:id="8"/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Chars="0"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（一）组织领导</w:t>
      </w:r>
    </w:p>
    <w:p>
      <w:pPr>
        <w:numPr>
          <w:ilvl w:val="0"/>
          <w:numId w:val="0"/>
        </w:numPr>
        <w:ind w:leftChars="0" w:firstLine="640" w:firstLineChars="200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为确保该项目的顺利实施，成立以镇党委书记、镇长为组长，分管领导为副组长，其余各副职领导、总堡村股份经济合作社理事长为成员的项目建设领导小组，并下设领导小组办公室，由主管项目的副镇长任办公室主任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Chars="0"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（二）工作职责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项目建设领导小组职责：协助项目前期各项手续的办理以及项目开工后的质量管理、资金使用监管和项目验收工作。工程建设必须按国家相关规范进行竣工验收，在项目竣工验收合格后方可投入使用，并及时办理竣工决算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Chars="0"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（三）项目资金管理</w:t>
      </w:r>
    </w:p>
    <w:p>
      <w:pPr>
        <w:numPr>
          <w:ilvl w:val="0"/>
          <w:numId w:val="0"/>
        </w:num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严格执行财务管理制度。根据《中央财政衔接推进乡村振兴补助资金管理办法》及有关财务制度，实行财务报账制，项目建设资金要专账管理、专款专用、专人负责。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Chars="0"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（四）制度管理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（1）项目论证审批制：项目论证由区扶贫局组织关专业人员进行项目论证，论证结束后，报区政府批复。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（2）公示公告制：项目审批后，项目村要通过公开栏、召开会议等形式对项目名称、建设地点、实施单位、项目类型、建设内容和规模、项目投资、建设期限形式进行公示，接受群众和全社会监督。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leftChars="0"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（五）档案管理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项目办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收集整理项目立项批复、实施方案、评审审批、组织实施、监督检查、考核验收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、公示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等各方面的资料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。村股份经济合作社要建立相应的项目档案。</w:t>
      </w:r>
    </w:p>
    <w:p>
      <w:pPr>
        <w:numPr>
          <w:ilvl w:val="0"/>
          <w:numId w:val="0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bookmarkStart w:id="9" w:name="_Toc27338"/>
      <w:bookmarkStart w:id="10" w:name="_Toc24406"/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六、竣工验收及决算</w:t>
      </w:r>
      <w:bookmarkEnd w:id="9"/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项目建设完成后，由责任单位组织地勘、监理、质监站等单位进行竣工验收，且该项目采用全过程跟踪审计，一并进行财务竣工决算及审计工作。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附件1: 项目基本情况表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附件2：项目建设领导小组、理财小组、监督小组名单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附件3：项目投资预算明细表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附件1: 项目基本情况表</w:t>
      </w:r>
    </w:p>
    <w:p>
      <w:pPr>
        <w:numPr>
          <w:ilvl w:val="0"/>
          <w:numId w:val="0"/>
        </w:numPr>
        <w:jc w:val="center"/>
        <w:outlineLvl w:val="0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湟中区海子沟乡</w:t>
      </w:r>
    </w:p>
    <w:p>
      <w:pPr>
        <w:numPr>
          <w:ilvl w:val="0"/>
          <w:numId w:val="0"/>
        </w:numPr>
        <w:jc w:val="center"/>
        <w:outlineLvl w:val="0"/>
        <w:rPr>
          <w:rFonts w:hint="default" w:asci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总堡村损坏道路修复工程项目情况介绍</w:t>
      </w:r>
    </w:p>
    <w:tbl>
      <w:tblPr>
        <w:tblStyle w:val="10"/>
        <w:tblpPr w:leftFromText="180" w:rightFromText="180" w:vertAnchor="text" w:horzAnchor="page" w:tblpX="1724" w:tblpY="223"/>
        <w:tblOverlap w:val="never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0"/>
        <w:gridCol w:w="68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2220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项    目</w:t>
            </w:r>
          </w:p>
        </w:tc>
        <w:tc>
          <w:tcPr>
            <w:tcW w:w="6819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220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项目类别</w:t>
            </w:r>
          </w:p>
        </w:tc>
        <w:tc>
          <w:tcPr>
            <w:tcW w:w="6819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损坏道路修复工程项目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2220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项目名称</w:t>
            </w:r>
          </w:p>
        </w:tc>
        <w:tc>
          <w:tcPr>
            <w:tcW w:w="6819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tabs>
                <w:tab w:val="left" w:pos="1313"/>
                <w:tab w:val="center" w:pos="328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西宁市湟中区海子沟乡总堡村损毁道路修复工程项目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2220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主管单位</w:t>
            </w:r>
          </w:p>
        </w:tc>
        <w:tc>
          <w:tcPr>
            <w:tcW w:w="6819" w:type="dxa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西宁市湟中区乡村振兴局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2220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责任单位</w:t>
            </w:r>
          </w:p>
        </w:tc>
        <w:tc>
          <w:tcPr>
            <w:tcW w:w="6819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西宁市湟中区海子沟乡人民政府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2220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建设地点</w:t>
            </w:r>
          </w:p>
        </w:tc>
        <w:tc>
          <w:tcPr>
            <w:tcW w:w="6819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总堡村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220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建设期限</w:t>
            </w:r>
          </w:p>
        </w:tc>
        <w:tc>
          <w:tcPr>
            <w:tcW w:w="6819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2021年5月-2021年10月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2220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投资预算</w:t>
            </w:r>
          </w:p>
        </w:tc>
        <w:tc>
          <w:tcPr>
            <w:tcW w:w="6819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225.55万元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3" w:hRule="atLeast"/>
        </w:trPr>
        <w:tc>
          <w:tcPr>
            <w:tcW w:w="2220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项目建设内容及规模</w:t>
            </w:r>
          </w:p>
        </w:tc>
        <w:tc>
          <w:tcPr>
            <w:tcW w:w="6819" w:type="dxa"/>
            <w:vAlign w:val="bottom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firstLine="420" w:firstLineChars="200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建设内容：1、修复总堡村上灰条（一社）雨水损毁砼浇筑路面570米，包含原有损毁道路拆除、铺设砂砾层、制作安装混凝土浇筑的排水沟、土方开挖、回填、重新浇筑砼及部分护坡工程。砼浇筑路面设计宽度4米，厚度200毫米，预计需要混凝土456立方米、砂石垫层570立方米；沿道路建设混凝土排水边渠570米，边渠宽400毫米，深350毫米，预计需要混凝土136.8立方米、土方开挖427.5立方米；依山体路段建设挡土石墙35米，其中石墙基础宽度4米，高度7米，预计石块及混凝土为980立方米；土方开挖后回填压实预计为4788立方米。混凝土标号均为C25。2、修复总堡村普通2号坝周边（四、五社）塌陷道路68米以及道路砼浇筑路面共计 70 米。包括土方开挖2999 立方米；C20 混凝土垫层23.8l 立方米；C30 钢筋混凝土基础119 立方米；毛石挡土墙 68 米，毛石挡土墙垂直高度为 10 米，底宽为 3.5 米，顶宽为 0.75 米，合计 1316 立方米；土方回填压实9000 立方米； 毛石挡土墙顶部压顶 C30 混凝土10.2 立方米； 沿边坡恢复道路长度为 70 米，宽度 3 米，合计 210 平方米； 沿道路路边设排水明沟为 68 米。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firstLine="420" w:firstLineChars="200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建设规模：1、修复总堡村上灰条（一社）雨水冲毁生产道路570米、排水沟570米及挡土石墙工程，损毁道路均在原损坏区域建设。2、总堡村普通2号坝周边（四、五社）塌陷道路共计 68 米以及道路砼浇筑路面共计 70 米，损毁道路均在原损坏区域建设。</w:t>
            </w:r>
          </w:p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both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pStyle w:val="1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outlineLvl w:val="0"/>
        <w:rPr>
          <w:rFonts w:hint="eastAsia" w:ascii="仿宋_GB2312" w:eastAsia="仿宋_GB2312" w:cs="仿宋_GB231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附件2：项目建设领导小组、理财小组、监督小组名单</w:t>
      </w:r>
    </w:p>
    <w:tbl>
      <w:tblPr>
        <w:tblStyle w:val="9"/>
        <w:tblW w:w="9099" w:type="dxa"/>
        <w:tblInd w:w="93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1"/>
        <w:gridCol w:w="1125"/>
        <w:gridCol w:w="1414"/>
        <w:gridCol w:w="837"/>
        <w:gridCol w:w="39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0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2"/>
                <w:szCs w:val="32"/>
                <w:lang w:val="en-US" w:eastAsia="zh-CN"/>
              </w:rPr>
              <w:t>项目建设领导、理财、监督人员名单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  <w:t>人员类别</w:t>
            </w: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  <w:t>姓名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  <w:t>性别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  <w:t>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项目建设领导</w:t>
            </w:r>
          </w:p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小组</w:t>
            </w:r>
          </w:p>
        </w:tc>
        <w:tc>
          <w:tcPr>
            <w:tcW w:w="11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组长</w:t>
            </w: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苏延胜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海子沟乡党委书记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权海燕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女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海子沟乡党委副书记、乡长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副组长</w:t>
            </w: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马龙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海子沟乡政府副乡长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成员</w:t>
            </w: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叶积雄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 党委副书记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王雪清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海子沟乡纪委书记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汪文先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女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海子沟乡武装部长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董占龙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海子沟乡政府副乡长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赵凯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海子沟乡政府副乡长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项目理财小组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组长</w:t>
            </w: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马 龙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海子沟乡政府副乡长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成员</w:t>
            </w: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赵燕子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女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海子沟乡会计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陈霞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女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海子沟乡出纳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陈霞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女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海子沟乡三资出纳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张福花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女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海子沟乡三资会计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镇级监督小组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组长</w:t>
            </w: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王雪清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女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海子沟乡纪委书记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  <w:t>成员</w:t>
            </w: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刘贵萍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男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 组织委员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李海英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女</w:t>
            </w:r>
          </w:p>
        </w:tc>
        <w:tc>
          <w:tcPr>
            <w:tcW w:w="3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海子沟乡纪委副书记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b/>
          <w:bCs/>
          <w:kern w:val="44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附件3：项目投资预算明细表（含附表1、2）</w:t>
      </w:r>
    </w:p>
    <w:tbl>
      <w:tblPr>
        <w:tblStyle w:val="9"/>
        <w:tblpPr w:leftFromText="180" w:rightFromText="180" w:vertAnchor="text" w:horzAnchor="page" w:tblpX="10" w:tblpY="1265"/>
        <w:tblOverlap w:val="never"/>
        <w:tblW w:w="1551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6"/>
        <w:gridCol w:w="1569"/>
        <w:gridCol w:w="993"/>
        <w:gridCol w:w="562"/>
        <w:gridCol w:w="304"/>
        <w:gridCol w:w="525"/>
        <w:gridCol w:w="351"/>
        <w:gridCol w:w="467"/>
        <w:gridCol w:w="486"/>
        <w:gridCol w:w="469"/>
        <w:gridCol w:w="192"/>
        <w:gridCol w:w="629"/>
        <w:gridCol w:w="200"/>
        <w:gridCol w:w="645"/>
        <w:gridCol w:w="393"/>
        <w:gridCol w:w="165"/>
        <w:gridCol w:w="790"/>
        <w:gridCol w:w="536"/>
        <w:gridCol w:w="963"/>
        <w:gridCol w:w="1"/>
        <w:gridCol w:w="28"/>
        <w:gridCol w:w="2288"/>
        <w:gridCol w:w="1"/>
        <w:gridCol w:w="28"/>
        <w:gridCol w:w="2283"/>
        <w:gridCol w:w="1"/>
        <w:gridCol w:w="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8" w:type="dxa"/>
          <w:trHeight w:val="360" w:hRule="atLeast"/>
        </w:trPr>
        <w:tc>
          <w:tcPr>
            <w:tcW w:w="13173" w:type="dxa"/>
            <w:gridSpan w:val="23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海子沟乡总堡村一社水泥道路修复项目-投资预算表</w:t>
            </w:r>
          </w:p>
        </w:tc>
        <w:tc>
          <w:tcPr>
            <w:tcW w:w="2312" w:type="dxa"/>
            <w:gridSpan w:val="3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61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附表</w:t>
            </w:r>
            <w:r>
              <w:rPr>
                <w:rStyle w:val="16"/>
                <w:rFonts w:eastAsia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69" w:type="dxa"/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1555" w:type="dxa"/>
            <w:gridSpan w:val="2"/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829" w:type="dxa"/>
            <w:gridSpan w:val="2"/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818" w:type="dxa"/>
            <w:gridSpan w:val="2"/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955" w:type="dxa"/>
            <w:gridSpan w:val="2"/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821" w:type="dxa"/>
            <w:gridSpan w:val="2"/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200" w:type="dxa"/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1203" w:type="dxa"/>
            <w:gridSpan w:val="3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2"/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i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2317" w:type="dxa"/>
            <w:gridSpan w:val="3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Style w:val="16"/>
                <w:rFonts w:eastAsia="宋体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Style w:val="17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2312" w:type="dxa"/>
            <w:gridSpan w:val="3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8" w:type="dxa"/>
          <w:trHeight w:val="360" w:hRule="atLeast"/>
        </w:trPr>
        <w:tc>
          <w:tcPr>
            <w:tcW w:w="6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5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工程及费用名称</w:t>
            </w:r>
          </w:p>
        </w:tc>
        <w:tc>
          <w:tcPr>
            <w:tcW w:w="5823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预算价值（元）</w:t>
            </w:r>
          </w:p>
        </w:tc>
        <w:tc>
          <w:tcPr>
            <w:tcW w:w="28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技术指标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   注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工程费用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设备购置费</w:t>
            </w: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安装工程费</w:t>
            </w: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工器具购置费</w:t>
            </w: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其他费用</w:t>
            </w: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 计</w:t>
            </w: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 位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 程 量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第一部分工程费用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1356307.62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1356307.62 </w:t>
            </w: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1~3合计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拆除工程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491463.12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2280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87.61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1.1~1.6合计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原有排水沟拆除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31555.20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55.36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40cm*40cm*15cm混凝土排水沟拆除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原有路面面层破除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73530.00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2280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32.25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20cm厚混凝土拆除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原有路面基层拆除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58641.60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2280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25.72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20cm级配砂石垫层拆除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93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拆除后垃圾清运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93808.32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912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102.86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运距10km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路面扩宽土方开挖、外运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93753.60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4560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20.56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含挖掘机进出场费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路面扩宽土方回填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140174.40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4560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30.74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土方回填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路面恢复工程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441379.50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2280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1935875.00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2.1~2.4合计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48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排水沟新做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105649.50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185.35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40cm*40cm*15cm混凝土排水沟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2.2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原土夯实，路基平整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11514.00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2280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5.05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含压路机进出场费用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2.3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20cm级配砂砾石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73233.60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2280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32.12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20cmC25混凝土路面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250982.40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2280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110.08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含伸缩缝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浆砌石挡土墙工程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423465.00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4321071.43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3.1~3.5合计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基础土方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21546.00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51.30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含开挖、外运、回填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挡土墙基础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161700.00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385.00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基础埋深3.0m、宽4.0m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48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3.3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挡土墙墙身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233240.00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416.50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墙身高4.0m，平均宽度4.0m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3.4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挡土墙单面勾缝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2676.80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19.12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水泥砂浆勾缝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3.5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挡土墙脚手架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4302.20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245</w:t>
            </w: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17.56 </w:t>
            </w: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搭设脚手架</w:t>
            </w: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第一部分费用合计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1356307.62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1356307.62 </w:t>
            </w: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第二部分其它工程费用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地质勘查费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60000.00</w:t>
            </w: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60000.00</w:t>
            </w: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第二部分费用合计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第一、二部分费用合计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1356307.62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1416307.62 </w:t>
            </w: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36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建设投资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1356307.62 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1416307.62 </w:t>
            </w: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29" w:type="dxa"/>
          <w:trHeight w:val="510" w:hRule="atLeas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</w:t>
            </w:r>
          </w:p>
        </w:tc>
        <w:tc>
          <w:tcPr>
            <w:tcW w:w="1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投资结构比例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95.76%</w:t>
            </w:r>
          </w:p>
        </w:tc>
        <w:tc>
          <w:tcPr>
            <w:tcW w:w="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0.00%</w:t>
            </w:r>
          </w:p>
        </w:tc>
        <w:tc>
          <w:tcPr>
            <w:tcW w:w="8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0.00%</w:t>
            </w:r>
          </w:p>
        </w:tc>
        <w:tc>
          <w:tcPr>
            <w:tcW w:w="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0.00%</w:t>
            </w:r>
          </w:p>
        </w:tc>
        <w:tc>
          <w:tcPr>
            <w:tcW w:w="66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4.24%</w:t>
            </w:r>
          </w:p>
        </w:tc>
        <w:tc>
          <w:tcPr>
            <w:tcW w:w="147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100.00%</w:t>
            </w:r>
          </w:p>
        </w:tc>
        <w:tc>
          <w:tcPr>
            <w:tcW w:w="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firstLine="562" w:firstLineChars="200"/>
        <w:textAlignment w:val="auto"/>
        <w:rPr>
          <w:rFonts w:ascii="华文仿宋" w:hAnsi="华文仿宋" w:eastAsia="华文仿宋" w:cs="华文仿宋"/>
          <w:b/>
          <w:bCs/>
          <w:kern w:val="44"/>
          <w:sz w:val="28"/>
          <w:szCs w:val="28"/>
        </w:rPr>
      </w:pPr>
      <w:r>
        <w:rPr>
          <w:rFonts w:hint="eastAsia" w:ascii="华文仿宋" w:hAnsi="华文仿宋" w:eastAsia="华文仿宋" w:cs="华文仿宋"/>
          <w:b/>
          <w:bCs/>
          <w:kern w:val="44"/>
          <w:sz w:val="28"/>
          <w:szCs w:val="28"/>
          <w:lang w:val="en-US" w:eastAsia="zh-CN"/>
        </w:rPr>
        <w:t xml:space="preserve">附表2           </w:t>
      </w:r>
      <w:r>
        <w:rPr>
          <w:rFonts w:hint="eastAsia" w:ascii="黑体" w:hAnsi="宋体" w:eastAsia="黑体" w:cs="黑体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海子沟乡总堡村普通2号坝周边塌陷道路修复项目投资预算表</w:t>
      </w:r>
    </w:p>
    <w:tbl>
      <w:tblPr>
        <w:tblStyle w:val="9"/>
        <w:tblW w:w="14147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2157"/>
        <w:gridCol w:w="1291"/>
        <w:gridCol w:w="1135"/>
        <w:gridCol w:w="1246"/>
        <w:gridCol w:w="1033"/>
        <w:gridCol w:w="1559"/>
        <w:gridCol w:w="851"/>
        <w:gridCol w:w="965"/>
        <w:gridCol w:w="878"/>
        <w:gridCol w:w="21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0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extDirection w:val="tbLrV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序号</w:t>
            </w:r>
          </w:p>
        </w:tc>
        <w:tc>
          <w:tcPr>
            <w:tcW w:w="2157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工程及费用名称</w:t>
            </w:r>
          </w:p>
        </w:tc>
        <w:tc>
          <w:tcPr>
            <w:tcW w:w="6264" w:type="dxa"/>
            <w:gridSpan w:val="5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投资预算值（万元）</w:t>
            </w:r>
          </w:p>
        </w:tc>
        <w:tc>
          <w:tcPr>
            <w:tcW w:w="2694" w:type="dxa"/>
            <w:gridSpan w:val="3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技术经济指标</w:t>
            </w:r>
          </w:p>
        </w:tc>
        <w:tc>
          <w:tcPr>
            <w:tcW w:w="2126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备</w:t>
            </w:r>
            <w:r>
              <w:rPr>
                <w:rFonts w:ascii="仿宋" w:hAnsi="仿宋" w:eastAsia="仿宋" w:cs="宋体"/>
                <w:kern w:val="0"/>
                <w:sz w:val="18"/>
                <w:szCs w:val="18"/>
              </w:rPr>
              <w:t xml:space="preserve">   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90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  <w:tc>
          <w:tcPr>
            <w:tcW w:w="2157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5"/>
                <w:szCs w:val="15"/>
              </w:rPr>
            </w:pPr>
            <w:r>
              <w:rPr>
                <w:rFonts w:hint="eastAsia" w:ascii="仿宋" w:hAnsi="仿宋" w:eastAsia="仿宋" w:cs="宋体"/>
                <w:kern w:val="0"/>
                <w:sz w:val="15"/>
                <w:szCs w:val="15"/>
              </w:rPr>
              <w:t>建筑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5"/>
                <w:szCs w:val="15"/>
              </w:rPr>
            </w:pPr>
            <w:r>
              <w:rPr>
                <w:rFonts w:hint="eastAsia" w:ascii="仿宋" w:hAnsi="仿宋" w:eastAsia="仿宋" w:cs="宋体"/>
                <w:kern w:val="0"/>
                <w:sz w:val="15"/>
                <w:szCs w:val="15"/>
              </w:rPr>
              <w:t>设备购置费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5"/>
                <w:szCs w:val="15"/>
              </w:rPr>
            </w:pPr>
            <w:r>
              <w:rPr>
                <w:rFonts w:hint="eastAsia" w:ascii="仿宋" w:hAnsi="仿宋" w:eastAsia="仿宋" w:cs="宋体"/>
                <w:kern w:val="0"/>
                <w:sz w:val="15"/>
                <w:szCs w:val="15"/>
              </w:rPr>
              <w:t>安装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5"/>
                <w:szCs w:val="15"/>
              </w:rPr>
            </w:pPr>
            <w:r>
              <w:rPr>
                <w:rFonts w:hint="eastAsia" w:ascii="仿宋" w:hAnsi="仿宋" w:eastAsia="仿宋" w:cs="宋体"/>
                <w:kern w:val="0"/>
                <w:sz w:val="15"/>
                <w:szCs w:val="15"/>
              </w:rPr>
              <w:t>其它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5"/>
                <w:szCs w:val="15"/>
              </w:rPr>
            </w:pPr>
            <w:r>
              <w:rPr>
                <w:rFonts w:hint="eastAsia" w:ascii="仿宋" w:hAnsi="仿宋" w:eastAsia="仿宋" w:cs="宋体"/>
                <w:kern w:val="0"/>
                <w:sz w:val="15"/>
                <w:szCs w:val="15"/>
              </w:rPr>
              <w:t>合计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单位</w:t>
            </w:r>
          </w:p>
        </w:tc>
        <w:tc>
          <w:tcPr>
            <w:tcW w:w="965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单价</w:t>
            </w:r>
          </w:p>
        </w:tc>
        <w:tc>
          <w:tcPr>
            <w:tcW w:w="2126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90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  <w:tc>
          <w:tcPr>
            <w:tcW w:w="2157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5"/>
                <w:szCs w:val="15"/>
              </w:rPr>
            </w:pPr>
            <w:r>
              <w:rPr>
                <w:rFonts w:hint="eastAsia" w:ascii="仿宋" w:hAnsi="仿宋" w:eastAsia="仿宋" w:cs="宋体"/>
                <w:kern w:val="0"/>
                <w:sz w:val="15"/>
                <w:szCs w:val="15"/>
              </w:rPr>
              <w:t>工程费</w:t>
            </w:r>
          </w:p>
        </w:tc>
        <w:tc>
          <w:tcPr>
            <w:tcW w:w="113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仿宋" w:hAnsi="仿宋" w:eastAsia="仿宋" w:cs="宋体"/>
                <w:kern w:val="0"/>
                <w:sz w:val="15"/>
                <w:szCs w:val="15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5"/>
                <w:szCs w:val="15"/>
              </w:rPr>
            </w:pPr>
            <w:r>
              <w:rPr>
                <w:rFonts w:hint="eastAsia" w:ascii="仿宋" w:hAnsi="仿宋" w:eastAsia="仿宋" w:cs="宋体"/>
                <w:kern w:val="0"/>
                <w:sz w:val="15"/>
                <w:szCs w:val="15"/>
              </w:rPr>
              <w:t>工程费</w:t>
            </w:r>
          </w:p>
        </w:tc>
        <w:tc>
          <w:tcPr>
            <w:tcW w:w="103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5"/>
                <w:szCs w:val="15"/>
              </w:rPr>
            </w:pPr>
            <w:r>
              <w:rPr>
                <w:rFonts w:hint="eastAsia" w:ascii="仿宋" w:hAnsi="仿宋" w:eastAsia="仿宋" w:cs="宋体"/>
                <w:kern w:val="0"/>
                <w:sz w:val="15"/>
                <w:szCs w:val="15"/>
              </w:rPr>
              <w:t>费用</w:t>
            </w:r>
          </w:p>
        </w:tc>
        <w:tc>
          <w:tcPr>
            <w:tcW w:w="1559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仿宋" w:hAnsi="仿宋" w:eastAsia="仿宋" w:cs="宋体"/>
                <w:kern w:val="0"/>
                <w:sz w:val="15"/>
                <w:szCs w:val="15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2126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0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 w:val="18"/>
                <w:szCs w:val="18"/>
              </w:rPr>
              <w:t>一</w:t>
            </w:r>
          </w:p>
        </w:tc>
        <w:tc>
          <w:tcPr>
            <w:tcW w:w="2157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 w:val="18"/>
                <w:szCs w:val="18"/>
              </w:rPr>
              <w:t>建筑工程费用</w:t>
            </w:r>
          </w:p>
        </w:tc>
        <w:tc>
          <w:tcPr>
            <w:tcW w:w="129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13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33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90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157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挖土沟槽土方</w:t>
            </w:r>
          </w:p>
        </w:tc>
        <w:tc>
          <w:tcPr>
            <w:tcW w:w="129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5.98</w:t>
            </w:r>
          </w:p>
        </w:tc>
        <w:tc>
          <w:tcPr>
            <w:tcW w:w="113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0"/>
              </w:rPr>
            </w:pPr>
          </w:p>
        </w:tc>
        <w:tc>
          <w:tcPr>
            <w:tcW w:w="1033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5.98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立方米</w:t>
            </w:r>
          </w:p>
        </w:tc>
        <w:tc>
          <w:tcPr>
            <w:tcW w:w="96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2990</w:t>
            </w:r>
          </w:p>
        </w:tc>
        <w:tc>
          <w:tcPr>
            <w:tcW w:w="878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212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90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157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HRB400Φ14钢筋</w:t>
            </w:r>
          </w:p>
        </w:tc>
        <w:tc>
          <w:tcPr>
            <w:tcW w:w="129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2.17</w:t>
            </w:r>
          </w:p>
        </w:tc>
        <w:tc>
          <w:tcPr>
            <w:tcW w:w="113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0"/>
              </w:rPr>
            </w:pPr>
          </w:p>
        </w:tc>
        <w:tc>
          <w:tcPr>
            <w:tcW w:w="1033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Calibri" w:hAnsi="Calibri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2.17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吨</w:t>
            </w:r>
          </w:p>
        </w:tc>
        <w:tc>
          <w:tcPr>
            <w:tcW w:w="96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3.1</w:t>
            </w:r>
          </w:p>
        </w:tc>
        <w:tc>
          <w:tcPr>
            <w:tcW w:w="878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7000</w:t>
            </w:r>
          </w:p>
        </w:tc>
        <w:tc>
          <w:tcPr>
            <w:tcW w:w="212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90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157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毛石挡土墙</w:t>
            </w:r>
          </w:p>
        </w:tc>
        <w:tc>
          <w:tcPr>
            <w:tcW w:w="129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72.25</w:t>
            </w:r>
          </w:p>
        </w:tc>
        <w:tc>
          <w:tcPr>
            <w:tcW w:w="113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_GB2312" w:hAnsi="仿宋_GB2312" w:eastAsia="仿宋_GB2312" w:cs="仿宋_GB2312"/>
                <w:kern w:val="0"/>
                <w:sz w:val="20"/>
                <w:szCs w:val="20"/>
              </w:rPr>
            </w:pPr>
          </w:p>
        </w:tc>
        <w:tc>
          <w:tcPr>
            <w:tcW w:w="1033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72.25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立方米</w:t>
            </w:r>
          </w:p>
        </w:tc>
        <w:tc>
          <w:tcPr>
            <w:tcW w:w="96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1445</w:t>
            </w:r>
          </w:p>
        </w:tc>
        <w:tc>
          <w:tcPr>
            <w:tcW w:w="878" w:type="dxa"/>
            <w:vAlign w:val="center"/>
          </w:tcPr>
          <w:p>
            <w:pPr>
              <w:widowControl/>
              <w:spacing w:line="360" w:lineRule="exact"/>
              <w:ind w:firstLine="210" w:firstLineChars="10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500</w:t>
            </w:r>
          </w:p>
        </w:tc>
        <w:tc>
          <w:tcPr>
            <w:tcW w:w="212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90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157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回填方</w:t>
            </w:r>
          </w:p>
        </w:tc>
        <w:tc>
          <w:tcPr>
            <w:tcW w:w="129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13.82</w:t>
            </w:r>
          </w:p>
        </w:tc>
        <w:tc>
          <w:tcPr>
            <w:tcW w:w="113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Calibri" w:hAnsi="Calibri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Calibri" w:hAnsi="Calibri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33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Calibri" w:hAnsi="Calibri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13.82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立方米</w:t>
            </w:r>
          </w:p>
        </w:tc>
        <w:tc>
          <w:tcPr>
            <w:tcW w:w="96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6910</w:t>
            </w:r>
          </w:p>
        </w:tc>
        <w:tc>
          <w:tcPr>
            <w:tcW w:w="878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20</w:t>
            </w:r>
          </w:p>
        </w:tc>
        <w:tc>
          <w:tcPr>
            <w:tcW w:w="212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0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157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200厚C30混凝土路面</w:t>
            </w:r>
          </w:p>
        </w:tc>
        <w:tc>
          <w:tcPr>
            <w:tcW w:w="129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4.62</w:t>
            </w:r>
          </w:p>
        </w:tc>
        <w:tc>
          <w:tcPr>
            <w:tcW w:w="113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33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4.62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平方米</w:t>
            </w:r>
          </w:p>
        </w:tc>
        <w:tc>
          <w:tcPr>
            <w:tcW w:w="96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210</w:t>
            </w:r>
          </w:p>
        </w:tc>
        <w:tc>
          <w:tcPr>
            <w:tcW w:w="878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220</w:t>
            </w:r>
          </w:p>
        </w:tc>
        <w:tc>
          <w:tcPr>
            <w:tcW w:w="212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0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color w:val="00B0F0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2157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排水沟</w:t>
            </w:r>
          </w:p>
        </w:tc>
        <w:tc>
          <w:tcPr>
            <w:tcW w:w="129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2.38</w:t>
            </w:r>
          </w:p>
        </w:tc>
        <w:tc>
          <w:tcPr>
            <w:tcW w:w="113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  <w:tc>
          <w:tcPr>
            <w:tcW w:w="1033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2.38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米</w:t>
            </w:r>
          </w:p>
        </w:tc>
        <w:tc>
          <w:tcPr>
            <w:tcW w:w="96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68</w:t>
            </w:r>
          </w:p>
        </w:tc>
        <w:tc>
          <w:tcPr>
            <w:tcW w:w="878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350</w:t>
            </w:r>
          </w:p>
        </w:tc>
        <w:tc>
          <w:tcPr>
            <w:tcW w:w="212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0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黑体" w:hAnsi="黑体" w:eastAsia="黑体" w:cs="宋体"/>
                <w:bCs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Cs/>
                <w:kern w:val="0"/>
                <w:sz w:val="18"/>
                <w:szCs w:val="18"/>
              </w:rPr>
              <w:t>7</w:t>
            </w:r>
          </w:p>
        </w:tc>
        <w:tc>
          <w:tcPr>
            <w:tcW w:w="2157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大型机械设备进出场费</w:t>
            </w:r>
          </w:p>
        </w:tc>
        <w:tc>
          <w:tcPr>
            <w:tcW w:w="129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0.7</w:t>
            </w:r>
          </w:p>
        </w:tc>
        <w:tc>
          <w:tcPr>
            <w:tcW w:w="113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  <w:tc>
          <w:tcPr>
            <w:tcW w:w="1033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0.7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台次</w:t>
            </w:r>
          </w:p>
        </w:tc>
        <w:tc>
          <w:tcPr>
            <w:tcW w:w="96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78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7000</w:t>
            </w:r>
          </w:p>
        </w:tc>
        <w:tc>
          <w:tcPr>
            <w:tcW w:w="212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0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 w:val="18"/>
                <w:szCs w:val="18"/>
              </w:rPr>
              <w:t>三</w:t>
            </w:r>
          </w:p>
        </w:tc>
        <w:tc>
          <w:tcPr>
            <w:tcW w:w="2157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kern w:val="0"/>
                <w:sz w:val="18"/>
                <w:szCs w:val="18"/>
              </w:rPr>
              <w:t>其它工程费用</w:t>
            </w:r>
          </w:p>
        </w:tc>
        <w:tc>
          <w:tcPr>
            <w:tcW w:w="129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</w:p>
        </w:tc>
        <w:tc>
          <w:tcPr>
            <w:tcW w:w="113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33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0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1</w:t>
            </w:r>
          </w:p>
        </w:tc>
        <w:tc>
          <w:tcPr>
            <w:tcW w:w="2157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地勘费</w:t>
            </w:r>
          </w:p>
        </w:tc>
        <w:tc>
          <w:tcPr>
            <w:tcW w:w="129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5.0</w:t>
            </w:r>
          </w:p>
        </w:tc>
        <w:tc>
          <w:tcPr>
            <w:tcW w:w="113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1033" w:type="dxa"/>
            <w:vAlign w:val="center"/>
          </w:tcPr>
          <w:p>
            <w:pPr>
              <w:widowControl/>
              <w:spacing w:line="360" w:lineRule="exact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5.0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06" w:type="dxa"/>
            <w:vAlign w:val="center"/>
          </w:tcPr>
          <w:p>
            <w:pPr>
              <w:widowControl/>
              <w:spacing w:line="360" w:lineRule="exact"/>
              <w:ind w:firstLine="270" w:firstLineChars="150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29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13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1033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0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29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13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1033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063" w:type="dxa"/>
            <w:gridSpan w:val="2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18"/>
                <w:szCs w:val="18"/>
              </w:rPr>
              <w:t>总计</w:t>
            </w:r>
          </w:p>
        </w:tc>
        <w:tc>
          <w:tcPr>
            <w:tcW w:w="129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kern w:val="0"/>
                <w:sz w:val="18"/>
                <w:szCs w:val="18"/>
              </w:rPr>
              <w:t>106.92</w:t>
            </w:r>
          </w:p>
        </w:tc>
        <w:tc>
          <w:tcPr>
            <w:tcW w:w="113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033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106.92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</w:tbl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8AB136"/>
    <w:multiLevelType w:val="multilevel"/>
    <w:tmpl w:val="D88AB136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5F86180C"/>
    <w:multiLevelType w:val="singleLevel"/>
    <w:tmpl w:val="5F86180C"/>
    <w:lvl w:ilvl="0" w:tentative="0">
      <w:start w:val="5"/>
      <w:numFmt w:val="chineseCounting"/>
      <w:suff w:val="nothing"/>
      <w:lvlText w:val="（%1）"/>
      <w:lvlJc w:val="left"/>
      <w:rPr>
        <w:rFonts w:hint="eastAsia" w:ascii="楷体" w:hAnsi="楷体" w:eastAsia="楷体" w:cs="楷体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7543E4"/>
    <w:rsid w:val="003C4CCD"/>
    <w:rsid w:val="01443C4B"/>
    <w:rsid w:val="03A92BCA"/>
    <w:rsid w:val="049E674E"/>
    <w:rsid w:val="04D24906"/>
    <w:rsid w:val="054D1937"/>
    <w:rsid w:val="05E2003A"/>
    <w:rsid w:val="071278C3"/>
    <w:rsid w:val="07814821"/>
    <w:rsid w:val="07DE27F9"/>
    <w:rsid w:val="0A124328"/>
    <w:rsid w:val="0AF5137E"/>
    <w:rsid w:val="0B4E3FF2"/>
    <w:rsid w:val="0BC97F27"/>
    <w:rsid w:val="0CED2D5F"/>
    <w:rsid w:val="0D2648CB"/>
    <w:rsid w:val="0D9D0FCF"/>
    <w:rsid w:val="0EB5092E"/>
    <w:rsid w:val="10095226"/>
    <w:rsid w:val="1267603C"/>
    <w:rsid w:val="12F51D05"/>
    <w:rsid w:val="135B4D8A"/>
    <w:rsid w:val="14182464"/>
    <w:rsid w:val="14217EA8"/>
    <w:rsid w:val="14A62C87"/>
    <w:rsid w:val="14DC2891"/>
    <w:rsid w:val="16733280"/>
    <w:rsid w:val="17B662CD"/>
    <w:rsid w:val="184E1785"/>
    <w:rsid w:val="19383797"/>
    <w:rsid w:val="1B446311"/>
    <w:rsid w:val="1BD44298"/>
    <w:rsid w:val="1BF162AF"/>
    <w:rsid w:val="1C8A0FB4"/>
    <w:rsid w:val="1D30441D"/>
    <w:rsid w:val="1D831635"/>
    <w:rsid w:val="1D8621E0"/>
    <w:rsid w:val="21765B16"/>
    <w:rsid w:val="23311CC8"/>
    <w:rsid w:val="23CA3CF5"/>
    <w:rsid w:val="240B017B"/>
    <w:rsid w:val="24295680"/>
    <w:rsid w:val="25152BDF"/>
    <w:rsid w:val="25F92092"/>
    <w:rsid w:val="26FC0D6B"/>
    <w:rsid w:val="28EA64EA"/>
    <w:rsid w:val="29994B55"/>
    <w:rsid w:val="2B4A6995"/>
    <w:rsid w:val="2B551F78"/>
    <w:rsid w:val="2B683EE2"/>
    <w:rsid w:val="2C3B6E1E"/>
    <w:rsid w:val="2E953816"/>
    <w:rsid w:val="30920261"/>
    <w:rsid w:val="30982AAF"/>
    <w:rsid w:val="317543E4"/>
    <w:rsid w:val="31BB51A4"/>
    <w:rsid w:val="31D13B67"/>
    <w:rsid w:val="353179CD"/>
    <w:rsid w:val="35CB6D4E"/>
    <w:rsid w:val="369734C2"/>
    <w:rsid w:val="37AB138E"/>
    <w:rsid w:val="38CA7AC6"/>
    <w:rsid w:val="394D175E"/>
    <w:rsid w:val="39597585"/>
    <w:rsid w:val="396400CC"/>
    <w:rsid w:val="3A9F2284"/>
    <w:rsid w:val="3AC86D43"/>
    <w:rsid w:val="3E824C2C"/>
    <w:rsid w:val="3ECB3782"/>
    <w:rsid w:val="41366EDD"/>
    <w:rsid w:val="420D6501"/>
    <w:rsid w:val="431F0CA5"/>
    <w:rsid w:val="43385EB7"/>
    <w:rsid w:val="4379036D"/>
    <w:rsid w:val="45495468"/>
    <w:rsid w:val="460F446D"/>
    <w:rsid w:val="46D850AA"/>
    <w:rsid w:val="47FE15C0"/>
    <w:rsid w:val="4A29061A"/>
    <w:rsid w:val="4D521CA4"/>
    <w:rsid w:val="4DAE431C"/>
    <w:rsid w:val="4EEB274C"/>
    <w:rsid w:val="4F1E275B"/>
    <w:rsid w:val="4FCA3B64"/>
    <w:rsid w:val="516A6015"/>
    <w:rsid w:val="51946E7A"/>
    <w:rsid w:val="524C490E"/>
    <w:rsid w:val="55C6077F"/>
    <w:rsid w:val="56A67925"/>
    <w:rsid w:val="57915DF3"/>
    <w:rsid w:val="57E241AC"/>
    <w:rsid w:val="58A9075A"/>
    <w:rsid w:val="59946EA9"/>
    <w:rsid w:val="5A144EB6"/>
    <w:rsid w:val="5A1D4F8A"/>
    <w:rsid w:val="5BE12A08"/>
    <w:rsid w:val="5C1724C0"/>
    <w:rsid w:val="5C4C36E0"/>
    <w:rsid w:val="5C6D75F8"/>
    <w:rsid w:val="5E117C38"/>
    <w:rsid w:val="5E17470F"/>
    <w:rsid w:val="5E5A1D09"/>
    <w:rsid w:val="5F135AF2"/>
    <w:rsid w:val="62D001E9"/>
    <w:rsid w:val="63B7678D"/>
    <w:rsid w:val="651614A0"/>
    <w:rsid w:val="66101511"/>
    <w:rsid w:val="66A6498A"/>
    <w:rsid w:val="67551E20"/>
    <w:rsid w:val="678D392F"/>
    <w:rsid w:val="69BF3F48"/>
    <w:rsid w:val="69F40A3E"/>
    <w:rsid w:val="6C4744F8"/>
    <w:rsid w:val="6CD370FB"/>
    <w:rsid w:val="6DA91E10"/>
    <w:rsid w:val="6DAE5BA8"/>
    <w:rsid w:val="6ECC1F40"/>
    <w:rsid w:val="6F994721"/>
    <w:rsid w:val="7047185D"/>
    <w:rsid w:val="70ED404A"/>
    <w:rsid w:val="712446AD"/>
    <w:rsid w:val="732F0469"/>
    <w:rsid w:val="74765B63"/>
    <w:rsid w:val="77430F23"/>
    <w:rsid w:val="786D4F94"/>
    <w:rsid w:val="79395CC7"/>
    <w:rsid w:val="79482175"/>
    <w:rsid w:val="7A1E36F5"/>
    <w:rsid w:val="7B586A03"/>
    <w:rsid w:val="7F4C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spacing w:beforeAutospacing="1" w:after="100" w:afterAutospacing="1"/>
      <w:outlineLvl w:val="2"/>
    </w:pPr>
    <w:rPr>
      <w:rFonts w:hint="eastAsia" w:ascii="宋体" w:hAnsi="宋体" w:eastAsia="宋体" w:cs="Times New Roman"/>
      <w:b/>
      <w:sz w:val="27"/>
      <w:szCs w:val="27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0"/>
    <w:pPr>
      <w:ind w:firstLine="420"/>
    </w:pPr>
    <w:rPr>
      <w:rFonts w:eastAsia="宋体"/>
      <w:kern w:val="2"/>
      <w:sz w:val="21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semiHidden/>
    <w:qFormat/>
    <w:uiPriority w:val="0"/>
    <w:pPr>
      <w:spacing w:before="120" w:after="120" w:line="600" w:lineRule="exact"/>
      <w:jc w:val="left"/>
    </w:pPr>
    <w:rPr>
      <w:b/>
      <w:bCs/>
      <w:caps/>
    </w:rPr>
  </w:style>
  <w:style w:type="paragraph" w:styleId="8">
    <w:name w:val="Body Text First Indent 2"/>
    <w:basedOn w:val="1"/>
    <w:qFormat/>
    <w:uiPriority w:val="0"/>
    <w:pPr>
      <w:spacing w:before="120" w:beforeLines="0" w:after="120" w:afterLines="0" w:line="360" w:lineRule="auto"/>
      <w:ind w:firstLine="420" w:firstLineChars="200"/>
      <w:jc w:val="left"/>
    </w:pPr>
    <w:rPr>
      <w:rFonts w:ascii="宋体" w:hAnsi="宋体"/>
      <w:kern w:val="0"/>
      <w:sz w:val="20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List Paragraph_d6768af5-1314-4057-a1a8-73fc910c4f29"/>
    <w:basedOn w:val="1"/>
    <w:qFormat/>
    <w:uiPriority w:val="34"/>
    <w:pPr>
      <w:ind w:firstLine="420" w:firstLineChars="200"/>
    </w:pPr>
  </w:style>
  <w:style w:type="character" w:customStyle="1" w:styleId="14">
    <w:name w:val="font41"/>
    <w:basedOn w:val="11"/>
    <w:qFormat/>
    <w:uiPriority w:val="0"/>
    <w:rPr>
      <w:rFonts w:hint="eastAsia" w:ascii="宋体" w:hAnsi="宋体" w:eastAsia="宋体" w:cs="宋体"/>
      <w:color w:val="676767"/>
      <w:sz w:val="24"/>
      <w:szCs w:val="24"/>
      <w:u w:val="none"/>
    </w:rPr>
  </w:style>
  <w:style w:type="character" w:customStyle="1" w:styleId="15">
    <w:name w:val="font112"/>
    <w:basedOn w:val="11"/>
    <w:qFormat/>
    <w:uiPriority w:val="0"/>
    <w:rPr>
      <w:rFonts w:hint="eastAsia" w:ascii="宋体" w:hAnsi="宋体" w:eastAsia="宋体" w:cs="宋体"/>
      <w:color w:val="808082"/>
      <w:sz w:val="24"/>
      <w:szCs w:val="24"/>
      <w:u w:val="none"/>
    </w:rPr>
  </w:style>
  <w:style w:type="character" w:customStyle="1" w:styleId="16">
    <w:name w:val="font21"/>
    <w:basedOn w:val="11"/>
    <w:qFormat/>
    <w:uiPriority w:val="0"/>
    <w:rPr>
      <w:rFonts w:hint="default" w:ascii="Times New Roman" w:hAnsi="Times New Roman" w:cs="Times New Roman"/>
      <w:color w:val="FF0000"/>
      <w:sz w:val="22"/>
      <w:szCs w:val="22"/>
      <w:u w:val="none"/>
    </w:rPr>
  </w:style>
  <w:style w:type="character" w:customStyle="1" w:styleId="17">
    <w:name w:val="font01"/>
    <w:basedOn w:val="11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2021-05-31T12:36:00Z</dcterms:created>
  <dc:creator>Administrator</dc:creator>
  <cp:lastModifiedBy>夕小粒</cp:lastModifiedBy>
  <dcterms:modified xsi:type="dcterms:W3CDTF">2021-06-23T08:17:40Z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9DA00FC445EC4D899B999EFF7A61908E</vt:lpwstr>
  </property>
</Properties>
</file>