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leftChars="0" w:rightChars="0"/>
        <w:jc w:val="center"/>
        <w:textAlignment w:val="auto"/>
        <w:outlineLvl w:val="9"/>
        <w:rPr>
          <w:rFonts w:ascii="方正小标宋简体" w:eastAsia="方正小标宋简体" w:hAnsi="宋体" w:cs="宋体"/>
          <w:color w:val="333333"/>
          <w:kern w:val="0"/>
          <w:sz w:val="24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</w:rPr>
        <w:t xml:space="preserve"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</w:pP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2020年，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在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区委、区政府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的正确领导下，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我局始终坚持以习近平新时代中国特色社会主义思想和党的十九大、十九届二中、三中、四中、五中全会精神为指导，深入贯彻落实《中华人民共和国政府信息公开条例》各项要求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强化组织领导，夯实工作基础，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积极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做好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新形势下政务公开工作，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提高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我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局服务水平，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拓宽群众参政议政渠道，加强了对权力运行的监督，增强了广大干部依法行政、文明服务的意识，提高了工作效率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22" w:rightChars="0" w:firstLineChars="200"/>
        <w:textAlignment w:val="auto"/>
        <w:outlineLvl w:val="9"/>
        <w:rPr>
          <w:rFonts w:ascii="Times New Roman" w:eastAsia="仿宋_GB2312" w:hAnsi="Times New Roman" w:hint="eastAsia"/>
          <w:color w:val="000000"/>
          <w:sz w:val="32"/>
          <w:szCs w:val="32"/>
          <w:lang w:eastAsia="zh-CN"/>
        </w:rPr>
      </w:pP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（一）及时成立工作机构</w:t>
      </w: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。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我局高度重视政府信息公开工作，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及时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成立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了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以局长张永山同志为组长、副局长李凯同志为副组长、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局属各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科室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负责人为成员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的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政府信息公开领导小组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领导小组下设办公室，由局办公室负责同志任领导小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组办公室主任，负责各项工作的日常开展，做好政府信息的公开发布工作。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eastAsia="zh-CN"/>
        </w:rPr>
        <w:t xml:space="preserve">各科室负责人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及时向办公室提供与分管业务相关的政策、文件等需主动公开的信息。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firstLine="646"/>
        <w:jc w:val="both"/>
        <w:textAlignment w:val="auto"/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（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二</w:t>
      </w: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）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严格</w:t>
      </w: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信息公开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审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查</w:t>
      </w: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。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严格落实信息公开保密审查工作，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全面规范信息公开工作</w:t>
      </w:r>
      <w:r>
        <w:rPr>
          <w:rFonts w:ascii="Times New Roman" w:eastAsia="仿宋_GB2312" w:hAnsi="Times New Roman" w:hint="eastAsia"/>
          <w:color w:val="000000"/>
          <w:sz w:val="32"/>
          <w:szCs w:val="32"/>
          <w:lang w:eastAsia="zh-CN"/>
        </w:rPr>
        <w:t xml:space="preserve">，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对需要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公开的政务信息，由相关科室在起草公文和信息时，对文件内容是否公开提出拟定意见，对属于不予公开的政府信息说明具体理由，对依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法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申请公开的政务信息按照“统一受理、分别办理”的原则，由局办公室负责受理。规范信息发布程序，坚持“先审查、后公开”、“一事一审、全面审查”、“上网不涉密，涉密不上网”等原则，确保公开的信息不涉及国家秘密、商业秘密、个人隐私及敏感内容。 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firstLine="646"/>
        <w:jc w:val="both"/>
        <w:textAlignment w:val="auto"/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（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三</w:t>
      </w:r>
      <w:r>
        <w:rPr>
          <w:rStyle w:val="Strong"/>
          <w:rFonts w:ascii="楷体_GB2312" w:eastAsia="楷体_GB2312" w:hAnsi="Times New Roman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）推进在线投资审批。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全面启用</w:t>
      </w:r>
      <w:r>
        <w:rPr>
          <w:rFonts w:ascii="Times New Roman" w:eastAsia="微软雅黑" w:hAnsi="Times New Roman" w:cs="Times New Roman" w:hint="default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“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国家重大建设项目库</w:t>
      </w:r>
      <w:r>
        <w:rPr>
          <w:rFonts w:ascii="Times New Roman" w:eastAsia="微软雅黑" w:hAnsi="Times New Roman" w:cs="Times New Roman" w:hint="default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”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和</w:t>
      </w:r>
      <w:r>
        <w:rPr>
          <w:rFonts w:ascii="Times New Roman" w:eastAsia="微软雅黑" w:hAnsi="Times New Roman" w:cs="Times New Roman" w:hint="default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“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青海省投资项目在线审批监管平台</w:t>
      </w:r>
      <w:r>
        <w:rPr>
          <w:rFonts w:ascii="Times New Roman" w:eastAsia="微软雅黑" w:hAnsi="Times New Roman" w:cs="Times New Roman" w:hint="default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”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项目操作系统，在青海省投资项目在线审批监管平台办理我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所有投资项目的审批、备案事宜，解决投资项目审批事项过多、流程过长、材料繁杂、审批机构和工作人员自由裁量权过大等问题，严格执行项目基本建设程序，2020年累计全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审批类事项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131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项，备案类事项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 xml:space="preserve">23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项。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firstLine="646"/>
        <w:jc w:val="both"/>
        <w:textAlignment w:val="auto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（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四</w:t>
      </w:r>
      <w:r>
        <w:rPr>
          <w:rStyle w:val="Strong"/>
          <w:rFonts w:ascii="楷体_GB2312" w:eastAsia="楷体_GB2312" w:hAnsi="微软雅黑" w:cs="楷体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）积极公开政府信息。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为进一步规范各项政务工作，切实提高监督水平，我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局把政府信息公开作为一项重要工作来抓，加强组织领导，建立健全制度，完善公开形式，按照上下基本统一的原则，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  <w:lang w:eastAsia="zh-CN"/>
        </w:rPr>
        <w:t xml:space="preserve">认真做好政府信息公开工作</w:t>
      </w:r>
      <w:r>
        <w:rPr>
          <w:rFonts w:ascii="Times New Roman" w:eastAsia="仿宋_GB2312" w:hAnsi="Times New Roman" w:hint="eastAsia"/>
          <w:color w:val="000000"/>
          <w:sz w:val="32"/>
          <w:szCs w:val="32"/>
          <w:shd w:val="clear" w:color="auto" w:fill="FFFFFF"/>
        </w:rPr>
        <w:t xml:space="preserve">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通过政府信息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的公开，使广大群众通过网络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等平台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及时了解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了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区发展和改革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局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工作的最新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动态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，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进一步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增强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了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政府工作</w:t>
      </w:r>
      <w:r>
        <w:rPr>
          <w:rFonts w:ascii="仿宋_GB2312" w:eastAsia="仿宋_GB2312" w:hAnsi="微软雅黑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的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透明度和公信力。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480" w:leftChars="0" w:rightChars="0"/>
        <w:textAlignment w:val="auto"/>
        <w:outlineLvl w:val="9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13"/>
        <w:gridCol w:w="1875"/>
        <w:gridCol w:w="6"/>
        <w:gridCol w:w="1265"/>
        <w:gridCol w:w="271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公开数量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对外公开总数量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3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  <w:jc w:val="center"/>
        </w:trPr>
        <w:tc>
          <w:tcPr>
            <w:tcW w:w="89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第二十条第（九）项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采购项目数量</w:t>
            </w:r>
          </w:p>
        </w:tc>
        <w:tc>
          <w:tcPr>
            <w:tcW w:w="3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采购总金额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12"/>
        <w:gridCol w:w="48"/>
        <w:gridCol w:w="830"/>
        <w:gridCol w:w="1966"/>
        <w:gridCol w:w="769"/>
        <w:gridCol w:w="16"/>
        <w:gridCol w:w="707"/>
        <w:gridCol w:w="16"/>
        <w:gridCol w:w="707"/>
        <w:gridCol w:w="16"/>
        <w:gridCol w:w="760"/>
        <w:gridCol w:w="16"/>
        <w:gridCol w:w="905"/>
        <w:gridCol w:w="16"/>
        <w:gridCol w:w="667"/>
        <w:gridCol w:w="16"/>
        <w:gridCol w:w="683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52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自然人</w:t>
            </w:r>
          </w:p>
        </w:tc>
        <w:tc>
          <w:tcPr>
            <w:tcW w:w="38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法人或其他组织</w:t>
            </w:r>
          </w:p>
        </w:tc>
        <w:tc>
          <w:tcPr>
            <w:tcW w:w="69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商业企业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科研机构</w:t>
            </w:r>
          </w:p>
        </w:tc>
        <w:tc>
          <w:tcPr>
            <w:tcW w:w="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社会公益组织</w:t>
            </w:r>
          </w:p>
        </w:tc>
        <w:tc>
          <w:tcPr>
            <w:tcW w:w="9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法律服务机构</w:t>
            </w:r>
          </w:p>
        </w:tc>
        <w:tc>
          <w:tcPr>
            <w:tcW w:w="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</w:t>
            </w:r>
          </w:p>
        </w:tc>
        <w:tc>
          <w:tcPr>
            <w:tcW w:w="69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（一）予以公开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（二）部分公开（区分处理的，只计这一情形，不计其他情形）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（三）不予公开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1.属于国家秘密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（四）无法提供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（五）不予处理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（六）其他处理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（七）总计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四、政府信息公开行政复议、行政诉讼情况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宋体" w:hAnsi="宋体" w:cs="宋体"/>
          <w:color w:val="333333"/>
          <w:kern w:val="0"/>
          <w:sz w:val="24"/>
        </w:rPr>
      </w:pP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11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行政复议</w:t>
            </w:r>
          </w:p>
        </w:tc>
        <w:tc>
          <w:tcPr>
            <w:tcW w:w="600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未经复议直接起诉</w:t>
            </w:r>
          </w:p>
        </w:tc>
        <w:tc>
          <w:tcPr>
            <w:tcW w:w="303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</w:tr>
      <w:tr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宋体" w:hAnsi="宋体" w:cs="宋体"/>
          <w:color w:val="333333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2020年，虽然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我局的政府信息公开工作取得了一定的成绩。但也存在着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公开渠道单一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、公开内容不够丰富等问题，与省市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委和群众的要求还有差距，为此，我局将采取以下措施进行改进：</w:t>
      </w:r>
      <w:r>
        <w:rPr>
          <w:rStyle w:val="Strong"/>
          <w:rFonts w:ascii="仿宋_GB2312" w:eastAsia="仿宋_GB2312" w:hAnsi="微软雅黑" w:cs="仿宋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一是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提高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做好政府信息公开的思想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认识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。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加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强</w:t>
      </w:r>
      <w:r>
        <w:rPr>
          <w:rFonts w:ascii="仿宋_GB2312" w:eastAsia="仿宋_GB2312" w:hAnsi="宋体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组织领导，进一步加大政务公开工作力度，把政务公开当作便民、利民的大事来抓。按照《中华人民共和国政府信息公开条例》确定的公开范围，及时发布并更新公开的信息，保证政务公开工作的稳步开展。</w:t>
      </w:r>
      <w:r>
        <w:rPr>
          <w:rStyle w:val="Strong"/>
          <w:rFonts w:ascii="仿宋_GB2312" w:eastAsia="仿宋_GB2312" w:hAnsi="微软雅黑" w:cs="仿宋_GB2312" w:hint="eastAsia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二是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严格落实政府信息公开各项规章制度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。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进一步规范工作流程、完善信息公开内容,不断健全政策解读机制,加强对本部门制定的政策文件及上级有关政策性信息的解读、发布,进一步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扩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大信息发布数量、提高信息质量,做到及时准确公开政府信息,更好地服务于全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区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经济社会发展。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</w:pPr>
      <w:r>
        <w:rPr>
          <w:rStyle w:val="Strong"/>
          <w:rFonts w:ascii="仿宋_GB2312" w:eastAsia="仿宋_GB2312" w:hAnsi="微软雅黑" w:cs="仿宋_GB2312" w:hint="eastAsia"/>
          <w:b/>
          <w:bCs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三</w:t>
      </w:r>
      <w:r>
        <w:rPr>
          <w:rFonts w:ascii="仿宋_GB2312" w:eastAsia="仿宋_GB2312" w:hAnsi="Times New Roman" w:cs="仿宋_GB2312" w:hint="eastAsia"/>
          <w:b/>
          <w:bCs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是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进一步学习《中华人民共和国政府信息公开条例》。做到深学悟透，提高全局干部政务公开业务水平，悉知政务公开有关知识，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掌握相关的法律法规和办事流程，确保政务公开工作的时效性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 xml:space="preserve">、精准性</w:t>
      </w:r>
      <w:r>
        <w:rPr>
          <w:rFonts w:ascii="仿宋_GB2312" w:eastAsia="仿宋_GB2312" w:hAnsi="Times New Roman" w:cs="仿宋_GB2312" w:hint="eastAsia"/>
          <w:b w:val="0"/>
          <w:i w:val="0"/>
          <w:caps w:val="0"/>
          <w:color w:val="000000"/>
          <w:spacing w:val="0"/>
          <w:sz w:val="31"/>
          <w:szCs w:val="31"/>
          <w:shd w:val="clear" w:color="auto" w:fill="FFFFFF"/>
        </w:rPr>
        <w:t xml:space="preserve"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 xml:space="preserve"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left"/>
        <w:textAlignment w:val="auto"/>
        <w:rPr>
          <w:rFonts w:ascii="Times New Roman" w:hAnsi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tabs>
          <w:tab w:val="left" w:pos="6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</w:p>
    <w:sectPr>
      <w:pgSz w:w="11906" w:h="16838" w:orient="portrait"/>
      <w:pgMar w:top="2098" w:right="1474" w:bottom="1984" w:left="1587" w:header="851" w:footer="992" w:gutter="0"/>
      <w:cols w:num="1" w:space="425">
        <w:col w:w="884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  <w:rPr/>
  </w:style>
  <w:style w:type="table" w:default="1" w:styleId="TableNormal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页眉Char">
    <w:name w:val="页眉 Char"/>
    <w:basedOn w:val="DefaultParagraphFont"/>
    <w:qFormat/>
    <w:rPr>
      <w:rFonts w:ascii="Calibri" w:hAnsi="Calibri" w:cs="Calibri"/>
      <w:kern w:val="2"/>
      <w:sz w:val="18"/>
      <w:szCs w:val="18"/>
    </w:rPr>
  </w:style>
  <w:style w:type="character" w:customStyle="1" w:styleId="页脚Char">
    <w:name w:val="页脚 Char"/>
    <w:basedOn w:val="DefaultParagraphFont"/>
    <w:qFormat/>
    <w:rPr>
      <w:rFonts w:ascii="Calibri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  <w:rPr/>
  </w:style>
  <w:style w:type="paragraph" w:customStyle="1" w:styleId="p">
    <w:name w:val="p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49</TotalTime>
  <Pages>3</Pages>
  <Words>170</Words>
  <Characters>970</Characters>
  <Application>WPS Office_11.1.0.10314_F1E327BC-269C-435d-A152-05C5408002CA</Application>
  <DocSecurity>0</DocSecurity>
  <Lines>8</Lines>
  <Paragraphs>2</Paragraphs>
  <Company>Microsoft</Company>
  <CharactersWithSpaces>1138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抱着盒子的姑娘</dc:creator>
  <cp:lastModifiedBy>汪</cp:lastModifiedBy>
  <cp:revision>6</cp:revision>
  <cp:lastPrinted>2021-01-08T09:27:00Z</cp:lastPrinted>
  <dcterms:created xsi:type="dcterms:W3CDTF">2021-01-08T02:53:00Z</dcterms:created>
  <dcterms:modified xsi:type="dcterms:W3CDTF">2021-02-05T03:32:07Z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