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pStyle w:val="正标1"/>
        <w:bidi w:val="0"/>
        <w:rPr>
          <w:rFonts w:hint="eastAsia"/>
        </w:rPr>
      </w:pPr>
    </w:p>
    <w:p>
      <w:pPr>
        <w:pStyle w:val="正标1"/>
        <w:bidi w:val="0"/>
        <w:rPr>
          <w:rFonts w:hint="eastAsia"/>
        </w:rPr>
      </w:pPr>
      <w:r>
        <w:rPr>
          <w:rFonts w:hint="eastAsia"/>
        </w:rPr>
        <w:t xml:space="preserve">2020年</w:t>
      </w:r>
      <w:r>
        <w:rPr>
          <w:rFonts w:hint="eastAsia"/>
          <w:lang w:eastAsia="zh-CN"/>
        </w:rPr>
        <w:t xml:space="preserve">西宁市湟中区教育</w:t>
      </w:r>
      <w:r>
        <w:rPr>
          <w:rFonts w:hint="eastAsia"/>
        </w:rPr>
        <w:t xml:space="preserve">局政府信息公开</w:t>
      </w:r>
    </w:p>
    <w:p>
      <w:pPr>
        <w:pStyle w:val="正标1"/>
        <w:bidi w:val="0"/>
      </w:pPr>
      <w:r>
        <w:rPr>
          <w:rFonts w:hint="eastAsia"/>
        </w:rPr>
        <w:t xml:space="preserve">工作年度报告</w:t>
      </w:r>
    </w:p>
    <w:p>
      <w:pPr>
        <w:pStyle w:val="正文1"/>
        <w:bidi w:val="0"/>
        <w:rPr>
          <w:rFonts w:hint="eastAsia"/>
        </w:rPr>
      </w:pPr>
    </w:p>
    <w:p>
      <w:pPr>
        <w:pStyle w:val="正文1"/>
        <w:bidi w:val="0"/>
      </w:pPr>
      <w:r>
        <w:rPr>
          <w:rFonts w:hint="eastAsia"/>
        </w:rPr>
        <w:t xml:space="preserve">本报告由</w:t>
      </w:r>
      <w:r>
        <w:rPr>
          <w:rFonts w:hint="eastAsia"/>
          <w:lang w:eastAsia="zh-CN"/>
        </w:rPr>
        <w:t xml:space="preserve">西宁市湟中区教育</w:t>
      </w:r>
      <w:r>
        <w:rPr>
          <w:rFonts w:hint="eastAsia"/>
        </w:rPr>
        <w:t xml:space="preserve">局根据《中华人民共和国政府信息公开条例》规定编制，内容包括</w:t>
      </w:r>
      <w:r>
        <w:rPr>
          <w:rFonts w:hint="eastAsia"/>
          <w:lang w:eastAsia="zh-CN"/>
        </w:rPr>
        <w:t xml:space="preserve">总体情况</w:t>
      </w:r>
      <w:r>
        <w:rPr>
          <w:rFonts w:hint="eastAsia"/>
        </w:rPr>
        <w:t xml:space="preserve">、主动公开政府信息的情况、</w:t>
      </w:r>
      <w:r>
        <w:rPr>
          <w:rFonts w:hint="eastAsia"/>
          <w:lang w:eastAsia="zh-CN"/>
        </w:rPr>
        <w:t xml:space="preserve">收到和处理政府信息公开申请</w:t>
      </w:r>
      <w:r>
        <w:rPr>
          <w:rFonts w:hint="eastAsia"/>
        </w:rPr>
        <w:t xml:space="preserve">情况、因政府信息公开申请行政复议及提起行政诉讼的情况、信息公开工作存在的主要问题及改进情况等六个方面。本报告中所列数据的统计期限自2020年1月1日起至2020年12月28日止。</w:t>
      </w:r>
    </w:p>
    <w:p>
      <w:pPr>
        <w:pStyle w:val="Heading1"/>
        <w:bidi w:val="0"/>
      </w:pPr>
      <w:r>
        <w:rPr>
          <w:rFonts w:hint="eastAsia"/>
        </w:rPr>
        <w:t xml:space="preserve">一、总体情况</w:t>
      </w:r>
    </w:p>
    <w:p>
      <w:pPr>
        <w:pStyle w:val="正文1"/>
        <w:bidi w:val="0"/>
        <w:rPr>
          <w:rFonts w:hint="eastAsia"/>
        </w:rPr>
      </w:pPr>
      <w:r>
        <w:rPr>
          <w:rFonts w:hint="eastAsia"/>
        </w:rPr>
        <w:t xml:space="preserve">2020年，</w:t>
      </w:r>
      <w:r>
        <w:rPr>
          <w:rFonts w:hint="eastAsia"/>
          <w:lang w:eastAsia="zh-CN"/>
        </w:rPr>
        <w:t xml:space="preserve">湟中区教育局</w:t>
      </w:r>
      <w:r>
        <w:rPr>
          <w:rFonts w:hint="eastAsia"/>
        </w:rPr>
        <w:t xml:space="preserve">认真贯彻落实《中华人民共和国政府信息公开条例》等文件要求，完善工作机制，拓宽信息公开渠道，全年政府信息公开工作正常运行。</w:t>
      </w:r>
    </w:p>
    <w:p>
      <w:pPr>
        <w:pStyle w:val="正文1"/>
        <w:bidi w:val="0"/>
        <w:rPr>
          <w:rFonts w:hint="eastAsia"/>
          <w:lang w:val="en-US" w:eastAsia="zh-CN"/>
        </w:rPr>
      </w:pPr>
      <w:r>
        <w:rPr>
          <w:rFonts w:hint="eastAsia"/>
        </w:rPr>
        <w:t xml:space="preserve">（一）主动公开情况。累计主动公开政府信息</w:t>
      </w:r>
      <w:r>
        <w:rPr>
          <w:rFonts w:hint="eastAsia"/>
          <w:lang w:val="en-US" w:eastAsia="zh-CN"/>
        </w:rPr>
        <w:t xml:space="preserve">178</w:t>
      </w:r>
      <w:r>
        <w:rPr>
          <w:rFonts w:hint="eastAsia"/>
        </w:rPr>
        <w:t xml:space="preserve">条</w:t>
      </w:r>
      <w:r>
        <w:rPr>
          <w:rFonts w:hint="eastAsia"/>
          <w:lang w:eastAsia="zh-CN"/>
        </w:rPr>
        <w:t xml:space="preserve">，其中政策解读类</w:t>
      </w:r>
      <w:r>
        <w:rPr>
          <w:rFonts w:hint="eastAsia"/>
          <w:lang w:val="en-US" w:eastAsia="zh-CN"/>
        </w:rPr>
        <w:t xml:space="preserve">4条、管理类1条、服务类51条、资金类2条、讯息类120条，无规范性文件。</w:t>
      </w:r>
    </w:p>
    <w:p>
      <w:pPr>
        <w:pStyle w:val="正文1"/>
        <w:bidi w:val="0"/>
        <w:rPr>
          <w:rFonts w:hint="eastAsia"/>
        </w:rPr>
      </w:pPr>
      <w:r>
        <w:rPr>
          <w:rFonts w:hint="eastAsia"/>
        </w:rPr>
        <w:t xml:space="preserve">（二）依申请公开情况。2020年</w:t>
      </w:r>
      <w:r>
        <w:rPr>
          <w:rFonts w:hint="eastAsia"/>
          <w:lang w:eastAsia="zh-CN"/>
        </w:rPr>
        <w:t xml:space="preserve">湟中区教育</w:t>
      </w:r>
      <w:r>
        <w:rPr>
          <w:rFonts w:hint="eastAsia"/>
        </w:rPr>
        <w:t xml:space="preserve">局没有收到政府信息依申请公开。</w:t>
      </w:r>
    </w:p>
    <w:p>
      <w:pPr>
        <w:pStyle w:val="正文1"/>
        <w:bidi w:val="0"/>
      </w:pPr>
      <w:r>
        <w:rPr>
          <w:rFonts w:hint="eastAsia"/>
        </w:rPr>
        <w:t xml:space="preserve">（三）因政府信息公开申请行政复议、提起行政诉讼情况</w:t>
      </w:r>
      <w:r>
        <w:rPr>
          <w:rFonts w:hint="eastAsia"/>
          <w:lang w:eastAsia="zh-CN"/>
        </w:rPr>
        <w:t xml:space="preserve">。</w:t>
      </w:r>
      <w:r>
        <w:rPr>
          <w:rFonts w:hint="eastAsia"/>
        </w:rPr>
        <w:t xml:space="preserve">2020年，</w:t>
      </w:r>
      <w:r>
        <w:rPr>
          <w:rFonts w:hint="eastAsia"/>
          <w:lang w:eastAsia="zh-CN"/>
        </w:rPr>
        <w:t xml:space="preserve">湟中区教育</w:t>
      </w:r>
      <w:r>
        <w:rPr>
          <w:rFonts w:hint="eastAsia"/>
        </w:rPr>
        <w:t xml:space="preserve">局没有因政府信息公开工作而被申请行政复议或被提起行政诉讼的情况。</w:t>
      </w:r>
    </w:p>
    <w:p>
      <w:pPr>
        <w:pStyle w:val="Heading1"/>
        <w:bidi w:val="0"/>
        <w:rPr>
          <w:rFonts w:hint="eastAsia"/>
        </w:rPr>
      </w:pPr>
      <w:r>
        <w:rPr>
          <w:rFonts w:hint="eastAsia"/>
        </w:rPr>
        <w:t xml:space="preserve">二、主动公开政府信息情况</w:t>
      </w:r>
    </w:p>
    <w:tbl>
      <w:tblPr>
        <w:tblStyle w:val="TableNormal"/>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Look w:val="0600" w:firstRow="0" w:lastRow="0" w:firstColumn="0" w:lastColumn="0" w:noHBand="1" w:noVBand="1"/>
      </w:tblPr>
      <w:tblGrid>
        <w:gridCol w:w="2042"/>
        <w:gridCol w:w="2320"/>
        <w:gridCol w:w="1944"/>
        <w:gridCol w:w="2599"/>
      </w:tblGrid>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9315" w:type="dxa"/>
            <w:gridSpan w:val="4"/>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第二十条第（一）项</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信息内容</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本年新</w:t>
            </w:r>
          </w:p>
          <w:p>
            <w:pPr>
              <w:pStyle w:val="正文1"/>
              <w:bidi w:val="0"/>
              <w:rPr>
                <w:sz w:val="21"/>
                <w:szCs w:val="21"/>
              </w:rPr>
            </w:pPr>
            <w:r>
              <w:rPr>
                <w:sz w:val="21"/>
                <w:szCs w:val="21"/>
              </w:rPr>
              <w:t xml:space="preserve">制作数量</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本年新</w:t>
            </w:r>
          </w:p>
          <w:p>
            <w:pPr>
              <w:pStyle w:val="正文1"/>
              <w:bidi w:val="0"/>
              <w:rPr>
                <w:sz w:val="21"/>
                <w:szCs w:val="21"/>
              </w:rPr>
            </w:pPr>
            <w:r>
              <w:rPr>
                <w:sz w:val="21"/>
                <w:szCs w:val="21"/>
              </w:rPr>
              <w:t xml:space="preserve">公开数量</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对外公开总数量</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规章</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规范性文件</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9315" w:type="dxa"/>
            <w:gridSpan w:val="4"/>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第二十条第（五）项</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信息内容</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上一年项目数量</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本年增/减</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处理决定数量</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行政许可</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4</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其他对外管理服务事项</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9315" w:type="dxa"/>
            <w:gridSpan w:val="4"/>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第二十条第（六）项</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信息内容</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上一年项目数量</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本年增/减</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处理决定数量</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行政处罚</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行政强制</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02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27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9315" w:type="dxa"/>
            <w:gridSpan w:val="4"/>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第二十条第（八）项</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信息内容</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上一年项目数量</w:t>
            </w:r>
          </w:p>
        </w:tc>
        <w:tc>
          <w:tcPr>
            <w:tcW w:w="475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本年增/减</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行政事业性收费</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475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9315" w:type="dxa"/>
            <w:gridSpan w:val="4"/>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第二十条第（九）项</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信息内容</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采购项目数量</w:t>
            </w:r>
          </w:p>
        </w:tc>
        <w:tc>
          <w:tcPr>
            <w:tcW w:w="475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采购总金额</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21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政府集中采购</w:t>
            </w:r>
          </w:p>
        </w:tc>
        <w:tc>
          <w:tcPr>
            <w:tcW w:w="243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c>
          <w:tcPr>
            <w:tcW w:w="4755"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r>
    </w:tbl>
    <w:p>
      <w:pPr>
        <w:pStyle w:val="Heading1"/>
        <w:bidi w:val="0"/>
        <w:rPr>
          <w:rFonts w:hint="eastAsia"/>
        </w:rPr>
      </w:pPr>
      <w:r>
        <w:rPr>
          <w:rFonts w:hint="eastAsia"/>
        </w:rPr>
        <w:t xml:space="preserve"> 三、收到和处理政府信息公开申请情况</w:t>
      </w:r>
    </w:p>
    <w:tbl>
      <w:tblPr>
        <w:tblStyle w:val="TableNormal"/>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Look w:val="0600" w:firstRow="0" w:lastRow="0" w:firstColumn="0" w:lastColumn="0" w:noHBand="1" w:noVBand="1"/>
      </w:tblPr>
      <w:tblGrid>
        <w:gridCol w:w="1030"/>
        <w:gridCol w:w="1222"/>
        <w:gridCol w:w="792"/>
        <w:gridCol w:w="837"/>
        <w:gridCol w:w="837"/>
        <w:gridCol w:w="837"/>
        <w:gridCol w:w="837"/>
        <w:gridCol w:w="837"/>
        <w:gridCol w:w="838"/>
        <w:gridCol w:w="838"/>
      </w:tblGrid>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3044" w:type="dxa"/>
            <w:gridSpan w:val="3"/>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sz w:val="21"/>
                <w:szCs w:val="21"/>
              </w:rPr>
            </w:pPr>
            <w:r>
              <w:rPr>
                <w:sz w:val="21"/>
                <w:szCs w:val="21"/>
              </w:rPr>
              <w:t xml:space="preserve">（本列数据的勾稽关系为：第一项加第二项之和，等于第三项加第四项之和）</w:t>
            </w:r>
          </w:p>
        </w:tc>
        <w:tc>
          <w:tcPr>
            <w:tcW w:w="5861" w:type="dxa"/>
            <w:gridSpan w:val="7"/>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申请人情况</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3044" w:type="dxa"/>
            <w:gridSpan w:val="3"/>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rFonts w:hint="eastAsia"/>
                <w:sz w:val="21"/>
                <w:szCs w:val="21"/>
              </w:rPr>
            </w:pPr>
          </w:p>
        </w:tc>
        <w:tc>
          <w:tcPr>
            <w:tcW w:w="837"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自然人</w:t>
            </w:r>
          </w:p>
        </w:tc>
        <w:tc>
          <w:tcPr>
            <w:tcW w:w="4186"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法人或其他组织</w:t>
            </w:r>
          </w:p>
        </w:tc>
        <w:tc>
          <w:tcPr>
            <w:tcW w:w="838"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总计</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3044" w:type="dxa"/>
            <w:gridSpan w:val="3"/>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rFonts w:hint="eastAsia"/>
                <w:sz w:val="21"/>
                <w:szCs w:val="21"/>
              </w:rPr>
            </w:pPr>
          </w:p>
        </w:tc>
        <w:tc>
          <w:tcPr>
            <w:tcW w:w="837"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商业企业</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科研机构</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社会公益组织</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法律服务机构</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其他</w:t>
            </w:r>
          </w:p>
        </w:tc>
        <w:tc>
          <w:tcPr>
            <w:tcW w:w="838"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30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sz w:val="21"/>
                <w:szCs w:val="21"/>
              </w:rPr>
            </w:pPr>
            <w:r>
              <w:rPr>
                <w:sz w:val="21"/>
                <w:szCs w:val="21"/>
              </w:rPr>
              <w:t xml:space="preserve">一、本年新收政府信息公开申请数量</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21"/>
                <w:szCs w:val="21"/>
                <w:lang w:val="en-US" w:eastAsia="zh-CN"/>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30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sz w:val="21"/>
                <w:szCs w:val="21"/>
              </w:rPr>
            </w:pPr>
            <w:r>
              <w:rPr>
                <w:sz w:val="21"/>
                <w:szCs w:val="21"/>
              </w:rPr>
              <w:t xml:space="preserve">二、上年结转政府信息公开申请数量</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sz w:val="21"/>
                <w:szCs w:val="21"/>
              </w:rPr>
            </w:pPr>
            <w:r>
              <w:rPr>
                <w:sz w:val="21"/>
                <w:szCs w:val="21"/>
              </w:rPr>
              <w:t xml:space="preserve">三、本年度办理结果</w:t>
            </w:r>
          </w:p>
        </w:tc>
        <w:tc>
          <w:tcPr>
            <w:tcW w:w="2014"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sz w:val="21"/>
                <w:szCs w:val="21"/>
              </w:rPr>
            </w:pPr>
            <w:r>
              <w:rPr>
                <w:sz w:val="21"/>
                <w:szCs w:val="21"/>
              </w:rPr>
              <w:t xml:space="preserve">（一）予以公开</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rFonts w:hint="eastAsia"/>
                <w:sz w:val="21"/>
                <w:szCs w:val="21"/>
              </w:rPr>
            </w:pPr>
          </w:p>
        </w:tc>
        <w:tc>
          <w:tcPr>
            <w:tcW w:w="2014"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jc w:val="left"/>
              <w:rPr>
                <w:sz w:val="21"/>
                <w:szCs w:val="21"/>
              </w:rPr>
            </w:pPr>
            <w:r>
              <w:rPr>
                <w:sz w:val="21"/>
                <w:szCs w:val="21"/>
              </w:rPr>
              <w:t xml:space="preserve">（二）部分公开（区分处理的，只计这一情形，不计其他情形）</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left="0" w:firstLine="0" w:leftChars="0" w:firstLineChars="0"/>
              <w:rPr>
                <w:sz w:val="21"/>
                <w:szCs w:val="21"/>
              </w:rPr>
            </w:pPr>
            <w:r>
              <w:rPr>
                <w:sz w:val="21"/>
                <w:szCs w:val="21"/>
              </w:rPr>
              <w:t xml:space="preserve">（三）不予公开</w:t>
            </w: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1.属于国家秘密</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2.其他法律行政法规禁止公开</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3.危及“三安全一稳定”</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4.保护第三方合法权益</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5.属于三类内部事务信息</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6.属于四类过程性信息</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7.属于行政执法案卷</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8.属于行政查询事项</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left="0" w:firstLine="0" w:leftChars="0" w:firstLineChars="0"/>
              <w:rPr>
                <w:sz w:val="21"/>
                <w:szCs w:val="21"/>
              </w:rPr>
            </w:pPr>
            <w:r>
              <w:rPr>
                <w:sz w:val="21"/>
                <w:szCs w:val="21"/>
              </w:rPr>
              <w:t xml:space="preserve">（四）无法提供</w:t>
            </w: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1.本机关不掌握相关政府信息</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2.没有现成信息需要另行制作</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3.补正后申请内容仍不明确</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left="0" w:firstLine="0" w:leftChars="0" w:firstLineChars="0"/>
              <w:rPr>
                <w:sz w:val="21"/>
                <w:szCs w:val="21"/>
              </w:rPr>
            </w:pPr>
            <w:bookmarkStart w:id="0" w:name="_GoBack"/>
            <w:bookmarkEnd w:id="0"/>
            <w:r>
              <w:rPr>
                <w:sz w:val="21"/>
                <w:szCs w:val="21"/>
              </w:rPr>
              <w:t xml:space="preserve">（五）不予处理</w:t>
            </w: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1.信访举报投诉类申请</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2.重复申请</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3.要求提供公开出版物</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4.无正当理由大量反复申请</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1222"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792"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5.要求行政机关确认或重新出具已获取信息</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2014"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（六）其他处理</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103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21"/>
                <w:szCs w:val="21"/>
              </w:rPr>
            </w:pPr>
          </w:p>
        </w:tc>
        <w:tc>
          <w:tcPr>
            <w:tcW w:w="2014" w:type="dxa"/>
            <w:gridSpan w:val="2"/>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（七）总计</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Layout w:type="fixed"/>
          <w:tblCellMar>
            <w:top w:w="30" w:type="dxa"/>
            <w:left w:w="30" w:type="dxa"/>
            <w:bottom w:w="30" w:type="dxa"/>
            <w:right w:w="30" w:type="dxa"/>
          </w:tblCellMar>
        </w:tblPrEx>
        <w:trPr>
          <w:jc w:val="center"/>
        </w:trPr>
        <w:tc>
          <w:tcPr>
            <w:tcW w:w="3044" w:type="dxa"/>
            <w:gridSpan w:val="3"/>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21"/>
                <w:szCs w:val="21"/>
              </w:rPr>
            </w:pPr>
            <w:r>
              <w:rPr>
                <w:sz w:val="21"/>
                <w:szCs w:val="21"/>
              </w:rPr>
              <w:t xml:space="preserve">四、结转下年度继续办理</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r>
              <w:rPr>
                <w:sz w:val="21"/>
                <w:szCs w:val="21"/>
              </w:rPr>
              <w:t xml:space="preserve"> </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sz w:val="21"/>
                <w:szCs w:val="21"/>
              </w:rPr>
              <w:t xml:space="preserve"> </w:t>
            </w:r>
            <w:r>
              <w:rPr>
                <w:rFonts w:hint="eastAsia"/>
                <w:sz w:val="21"/>
                <w:szCs w:val="21"/>
                <w:lang w:val="en-US" w:eastAsia="zh-CN"/>
              </w:rPr>
              <w:t xml:space="preserve">0</w:t>
            </w:r>
          </w:p>
        </w:tc>
        <w:tc>
          <w:tcPr>
            <w:tcW w:w="837"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c>
          <w:tcPr>
            <w:tcW w:w="838"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ind w:firstLine="420" w:firstLineChars="200"/>
              <w:rPr>
                <w:rFonts w:ascii="Calibri" w:eastAsia="仿宋_GB2312" w:hAnsi="Calibri" w:asciiTheme="minorAscii" w:hAnsiTheme="minorAscii" w:cs="Times New Roman" w:hint="eastAsia"/>
                <w:kern w:val="2"/>
                <w:sz w:val="21"/>
                <w:szCs w:val="21"/>
                <w:lang w:val="en-US" w:eastAsia="zh-CN" w:bidi="ar-SA"/>
              </w:rPr>
            </w:pPr>
            <w:r>
              <w:rPr>
                <w:rFonts w:hint="eastAsia"/>
                <w:sz w:val="21"/>
                <w:szCs w:val="21"/>
                <w:lang w:val="en-US" w:eastAsia="zh-CN"/>
              </w:rPr>
              <w:t xml:space="preserve">0</w:t>
            </w:r>
          </w:p>
        </w:tc>
      </w:tr>
    </w:tbl>
    <w:p>
      <w:pPr>
        <w:pStyle w:val="Heading1"/>
        <w:bidi w:val="0"/>
        <w:rPr>
          <w:rFonts w:hint="eastAsia"/>
        </w:rPr>
      </w:pPr>
      <w:r>
        <w:rPr>
          <w:rFonts w:hint="eastAsia"/>
        </w:rPr>
        <w:t xml:space="preserve">四、政府信息公开行政复议、行政诉讼情况</w:t>
      </w:r>
    </w:p>
    <w:tbl>
      <w:tblPr>
        <w:tblStyle w:val="TableNormal"/>
        <w:tblW w:w="0" w:type="auto"/>
        <w:jc w:val="center"/>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Look w:val="0600" w:firstRow="0" w:lastRow="0" w:firstColumn="0" w:lastColumn="0" w:noHBand="1" w:noVBand="1"/>
      </w:tblPr>
      <w:tblGrid>
        <w:gridCol w:w="593"/>
        <w:gridCol w:w="593"/>
        <w:gridCol w:w="593"/>
        <w:gridCol w:w="593"/>
        <w:gridCol w:w="593"/>
        <w:gridCol w:w="594"/>
        <w:gridCol w:w="594"/>
        <w:gridCol w:w="594"/>
        <w:gridCol w:w="594"/>
        <w:gridCol w:w="594"/>
        <w:gridCol w:w="594"/>
        <w:gridCol w:w="594"/>
        <w:gridCol w:w="594"/>
        <w:gridCol w:w="594"/>
        <w:gridCol w:w="594"/>
      </w:tblGrid>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3060"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行政复议</w:t>
            </w:r>
          </w:p>
        </w:tc>
        <w:tc>
          <w:tcPr>
            <w:tcW w:w="5985" w:type="dxa"/>
            <w:gridSpan w:val="10"/>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行政诉讼</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结果维持</w:t>
            </w:r>
          </w:p>
        </w:tc>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结果纠正</w:t>
            </w:r>
          </w:p>
        </w:tc>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其他结果</w:t>
            </w:r>
          </w:p>
        </w:tc>
        <w:tc>
          <w:tcPr>
            <w:tcW w:w="600"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尚未审结</w:t>
            </w:r>
          </w:p>
        </w:tc>
        <w:tc>
          <w:tcPr>
            <w:tcW w:w="645"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总计</w:t>
            </w:r>
          </w:p>
        </w:tc>
        <w:tc>
          <w:tcPr>
            <w:tcW w:w="2970"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未经复议直接起诉</w:t>
            </w:r>
          </w:p>
        </w:tc>
        <w:tc>
          <w:tcPr>
            <w:tcW w:w="3015" w:type="dxa"/>
            <w:gridSpan w:val="5"/>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复议后起诉</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60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18"/>
                <w:szCs w:val="18"/>
              </w:rPr>
            </w:pPr>
          </w:p>
        </w:tc>
        <w:tc>
          <w:tcPr>
            <w:tcW w:w="60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18"/>
                <w:szCs w:val="18"/>
              </w:rPr>
            </w:pPr>
          </w:p>
        </w:tc>
        <w:tc>
          <w:tcPr>
            <w:tcW w:w="60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18"/>
                <w:szCs w:val="18"/>
              </w:rPr>
            </w:pPr>
          </w:p>
        </w:tc>
        <w:tc>
          <w:tcPr>
            <w:tcW w:w="600"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18"/>
                <w:szCs w:val="18"/>
              </w:rPr>
            </w:pPr>
          </w:p>
        </w:tc>
        <w:tc>
          <w:tcPr>
            <w:tcW w:w="645" w:type="dxa"/>
            <w:vMerge/>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hint="eastAsia"/>
                <w:sz w:val="18"/>
                <w:szCs w:val="18"/>
              </w:rPr>
            </w:pPr>
          </w:p>
        </w:tc>
        <w:tc>
          <w:tcPr>
            <w:tcW w:w="54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结果维持</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结果纠正</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其他结果</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尚未审结</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总计</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结果维持</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结果纠正</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其他结果</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尚未审结</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总计</w:t>
            </w:r>
          </w:p>
        </w:tc>
      </w:tr>
      <w:tr>
        <w:tblPrEx>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shd w:val="clear" w:color="auto" w:fill="auto"/>
          <w:tblCellMar>
            <w:top w:w="30" w:type="dxa"/>
            <w:left w:w="30" w:type="dxa"/>
            <w:bottom w:w="30" w:type="dxa"/>
            <w:right w:w="30" w:type="dxa"/>
          </w:tblCellMar>
        </w:tblPrEx>
        <w:trPr>
          <w:jc w:val="center"/>
        </w:trPr>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18"/>
                <w:szCs w:val="18"/>
                <w:lang w:val="en-US" w:eastAsia="zh-CN"/>
              </w:rPr>
            </w:pPr>
            <w:r>
              <w:rPr>
                <w:rFonts w:hint="eastAsia"/>
                <w:sz w:val="18"/>
                <w:szCs w:val="18"/>
                <w:lang w:val="en-US" w:eastAsia="zh-CN"/>
              </w:rPr>
              <w:t xml:space="preserve">0</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18"/>
                <w:szCs w:val="18"/>
                <w:lang w:val="en-US" w:eastAsia="zh-CN"/>
              </w:rPr>
            </w:pPr>
            <w:r>
              <w:rPr>
                <w:rFonts w:hint="eastAsia"/>
                <w:sz w:val="18"/>
                <w:szCs w:val="18"/>
                <w:lang w:val="en-US" w:eastAsia="zh-CN"/>
              </w:rPr>
              <w:t xml:space="preserve">0</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18"/>
                <w:szCs w:val="18"/>
                <w:lang w:val="en-US" w:eastAsia="zh-CN"/>
              </w:rPr>
            </w:pPr>
            <w:r>
              <w:rPr>
                <w:rFonts w:hint="eastAsia"/>
                <w:sz w:val="18"/>
                <w:szCs w:val="18"/>
                <w:lang w:val="en-US" w:eastAsia="zh-CN"/>
              </w:rPr>
              <w:t xml:space="preserve">0</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18"/>
                <w:szCs w:val="18"/>
                <w:lang w:val="en-US" w:eastAsia="zh-CN"/>
              </w:rPr>
            </w:pPr>
            <w:r>
              <w:rPr>
                <w:rFonts w:hint="eastAsia"/>
                <w:sz w:val="18"/>
                <w:szCs w:val="18"/>
                <w:lang w:val="en-US" w:eastAsia="zh-CN"/>
              </w:rPr>
              <w:t xml:space="preserve">0</w:t>
            </w:r>
          </w:p>
        </w:tc>
        <w:tc>
          <w:tcPr>
            <w:tcW w:w="645"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0</w:t>
            </w:r>
          </w:p>
        </w:tc>
        <w:tc>
          <w:tcPr>
            <w:tcW w:w="54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0</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rFonts w:eastAsia="仿宋_GB2312" w:hint="eastAsia"/>
                <w:sz w:val="18"/>
                <w:szCs w:val="18"/>
                <w:lang w:val="en-US" w:eastAsia="zh-CN"/>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rFonts w:hint="eastAsia"/>
                <w:sz w:val="18"/>
                <w:szCs w:val="18"/>
                <w:lang w:val="en-US" w:eastAsia="zh-CN"/>
              </w:rPr>
              <w:t xml:space="preserve">0</w:t>
            </w:r>
            <w:r>
              <w:rPr>
                <w:sz w:val="18"/>
                <w:szCs w:val="18"/>
              </w:rPr>
              <w:t xml:space="preserve"> </w:t>
            </w:r>
          </w:p>
        </w:tc>
        <w:tc>
          <w:tcPr>
            <w:tcW w:w="600" w:type="dxa"/>
            <w:tcBorders>
              <w:top w:val="outset" w:sz="6" w:space="0" w:color="000000"/>
              <w:left w:val="outset" w:sz="6" w:space="0" w:color="000000"/>
              <w:bottom w:val="outset" w:sz="6" w:space="0" w:color="000000"/>
              <w:right w:val="outset" w:sz="6" w:space="0" w:color="000000"/>
            </w:tcBorders>
            <w:shd w:val="clear" w:color="auto" w:fill="auto"/>
            <w:vAlign w:val="center"/>
          </w:tcPr>
          <w:p>
            <w:pPr>
              <w:pStyle w:val="正文1"/>
              <w:bidi w:val="0"/>
              <w:rPr>
                <w:sz w:val="18"/>
                <w:szCs w:val="18"/>
              </w:rPr>
            </w:pPr>
            <w:r>
              <w:rPr>
                <w:sz w:val="18"/>
                <w:szCs w:val="18"/>
              </w:rPr>
              <w:t xml:space="preserve">0</w:t>
            </w:r>
          </w:p>
        </w:tc>
      </w:tr>
    </w:tbl>
    <w:p>
      <w:pPr>
        <w:pStyle w:val="Heading1"/>
        <w:bidi w:val="0"/>
        <w:rPr>
          <w:rFonts w:hint="eastAsia"/>
        </w:rPr>
      </w:pPr>
      <w:r>
        <w:rPr>
          <w:rFonts w:hint="eastAsia"/>
        </w:rPr>
        <w:t xml:space="preserve">五、存在的主要问题及改进情况</w:t>
      </w:r>
    </w:p>
    <w:p>
      <w:pPr>
        <w:pStyle w:val="正文1"/>
        <w:bidi w:val="0"/>
        <w:rPr>
          <w:rFonts w:hint="eastAsia"/>
        </w:rPr>
      </w:pPr>
      <w:r>
        <w:rPr>
          <w:rFonts w:hint="eastAsia"/>
        </w:rPr>
        <w:t xml:space="preserve">存在的主要问题有：</w:t>
      </w:r>
      <w:r>
        <w:rPr>
          <w:rFonts w:hint="eastAsia"/>
          <w:lang w:eastAsia="zh-CN"/>
        </w:rPr>
        <w:t xml:space="preserve">一是</w:t>
      </w:r>
      <w:r>
        <w:rPr>
          <w:rFonts w:hint="eastAsia"/>
        </w:rPr>
        <w:t xml:space="preserve">公开信息还不能完全满足社会公众的需求。二是信息公开的主动性和实时性有待增强。</w:t>
      </w:r>
    </w:p>
    <w:p>
      <w:pPr>
        <w:pStyle w:val="正文1"/>
        <w:bidi w:val="0"/>
        <w:rPr>
          <w:rFonts w:hint="eastAsia"/>
        </w:rPr>
      </w:pPr>
      <w:r>
        <w:rPr>
          <w:rFonts w:hint="eastAsia"/>
        </w:rPr>
        <w:t xml:space="preserve">针对以上存在的问题，我们将采取以下措施，推动政府信息公开工作再上新台阶。一是提高思想认识，形成主要领导亲自抓，分管领导具体抓的工作局面，不断加大政府信息公开工作力度，促使政府信息公开工作落地生根；二是加强相关业务知识学习，学习借鉴先进</w:t>
      </w:r>
      <w:r>
        <w:rPr>
          <w:rFonts w:hint="eastAsia"/>
          <w:lang w:eastAsia="zh-CN"/>
        </w:rPr>
        <w:t xml:space="preserve">部门</w:t>
      </w:r>
      <w:r>
        <w:rPr>
          <w:rFonts w:hint="eastAsia"/>
        </w:rPr>
        <w:t xml:space="preserve">政务公开标准化和规范化工作经验，提升公开质量；</w:t>
      </w:r>
    </w:p>
    <w:p>
      <w:pPr>
        <w:pStyle w:val="Heading1"/>
        <w:bidi w:val="0"/>
        <w:rPr>
          <w:rFonts w:hint="eastAsia"/>
        </w:rPr>
      </w:pPr>
      <w:r>
        <w:rPr>
          <w:rFonts w:hint="eastAsia"/>
        </w:rPr>
        <w:t xml:space="preserve">六、其他需要报告的事项</w:t>
      </w:r>
    </w:p>
    <w:p>
      <w:pPr>
        <w:pStyle w:val="正文1"/>
        <w:bidi w:val="0"/>
        <w:rPr>
          <w:rFonts w:hint="eastAsia"/>
        </w:rPr>
      </w:pPr>
      <w:r>
        <w:rPr>
          <w:rFonts w:hint="eastAsia"/>
        </w:rPr>
        <w:t xml:space="preserve">无</w:t>
      </w:r>
    </w:p>
    <w:p>
      <w:pPr>
        <w:pStyle w:val="正文1"/>
        <w:bidi w:val="0"/>
        <w:rPr>
          <w:rFonts w:hint="eastAsia"/>
        </w:rPr>
      </w:pPr>
    </w:p>
    <w:p>
      <w:pPr>
        <w:pStyle w:val="正文1"/>
        <w:bidi w:val="0"/>
        <w:jc w:val="right"/>
        <w:rPr>
          <w:rFonts w:hint="eastAsia"/>
          <w:lang w:val="en-US" w:eastAsia="zh-CN"/>
        </w:rPr>
      </w:pPr>
    </w:p>
    <w:p>
      <w:pPr>
        <w:pStyle w:val="正文1"/>
        <w:bidi w:val="0"/>
        <w:jc w:val="right"/>
        <w:rPr>
          <w:rFonts w:hint="eastAsia"/>
          <w:lang w:val="en-US" w:eastAsia="zh-CN"/>
        </w:rPr>
      </w:pPr>
    </w:p>
    <w:p>
      <w:pPr>
        <w:pStyle w:val="正文1"/>
        <w:bidi w:val="0"/>
        <w:jc w:val="right"/>
        <w:rPr>
          <w:rFonts w:hint="eastAsia"/>
          <w:lang w:val="en-US" w:eastAsia="zh-CN"/>
        </w:rPr>
      </w:pPr>
      <w:r>
        <w:rPr>
          <w:rFonts w:hint="eastAsia"/>
          <w:lang w:val="en-US" w:eastAsia="zh-CN"/>
        </w:rPr>
        <w:t xml:space="preserve">西宁市湟中区教育局</w:t>
      </w:r>
    </w:p>
    <w:p>
      <w:pPr>
        <w:pStyle w:val="正文1"/>
        <w:wordWrap w:val="0"/>
        <w:bidi w:val="0"/>
        <w:jc w:val="right"/>
        <w:rPr>
          <w:rFonts w:hint="default"/>
          <w:lang w:val="en-US" w:eastAsia="zh-CN"/>
        </w:rPr>
      </w:pPr>
      <w:r>
        <w:rPr>
          <w:rFonts w:hint="eastAsia"/>
          <w:lang w:val="en-US" w:eastAsia="zh-CN"/>
        </w:rPr>
        <w:t xml:space="preserve">2021年2月5日 </w:t>
      </w:r>
    </w:p>
    <w:p>
      <w:pPr/>
    </w:p>
    <w:sectPr>
      <w:footerReference w:type="default" r:id="rId6"/>
      <w:pgSz w:w="11906" w:h="16838" w:orient="portrait"/>
      <w:pgMar w:top="1417" w:right="1417" w:bottom="1417" w:left="1644" w:header="851" w:footer="992" w:gutter="0"/>
      <w:pgNumType w:fmt="numberInDash"/>
      <w:cols w:num="1" w:space="0">
        <w:col w:w="8845"/>
      </w:cols>
      <w:rtlGutter w:val="0"/>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大标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_x0000_s0123"/>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eastAsia="宋体" w:hAnsi="Times New Roman" w:cs="Times New Roman" w:hint="default"/>
                              <w:sz w:val="28"/>
                              <w:szCs w:val="28"/>
                              <w:lang w:eastAsia="zh-CN"/>
                            </w:rPr>
                          </w:pPr>
                          <w:r>
                            <w:rPr>
                              <w:rFonts w:ascii="Times New Roman" w:hAnsi="Times New Roman" w:cs="Times New Roman" w:hint="default"/>
                              <w:sz w:val="28"/>
                              <w:szCs w:val="28"/>
                              <w:lang w:eastAsia="zh-CN"/>
                            </w:rPr>
                            <w:fldChar w:fldCharType="begin"/>
                          </w:r>
                          <w:r>
                            <w:rPr>
                              <w:rFonts w:ascii="Times New Roman" w:hAnsi="Times New Roman" w:cs="Times New Roman" w:hint="default"/>
                              <w:sz w:val="28"/>
                              <w:szCs w:val="28"/>
                              <w:lang w:eastAsia="zh-CN"/>
                            </w:rPr>
                            <w:instrText xml:space="preserve"> PAGE  \* MERGEFORMAT </w:instrText>
                          </w:r>
                          <w:r>
                            <w:rPr>
                              <w:rFonts w:ascii="Times New Roman" w:hAnsi="Times New Roman" w:cs="Times New Roman" w:hint="default"/>
                              <w:sz w:val="28"/>
                              <w:szCs w:val="28"/>
                              <w:lang w:eastAsia="zh-CN"/>
                            </w:rPr>
                            <w:fldChar w:fldCharType="separate"/>
                          </w:r>
                          <w:r>
                            <w:rPr>
                              <w:rFonts w:ascii="Times New Roman" w:hAnsi="Times New Roman" w:cs="Times New Roman" w:hint="default"/>
                              <w:sz w:val="28"/>
                              <w:szCs w:val="28"/>
                              <w:lang w:eastAsia="zh-CN"/>
                            </w:rPr>
                            <w:t xml:space="preserve">1</w:t>
                          </w:r>
                          <w:r>
                            <w:rPr>
                              <w:rFonts w:ascii="Times New Roman" w:hAnsi="Times New Roman" w:cs="Times New Roman" w:hint="default"/>
                              <w:sz w:val="28"/>
                              <w:szCs w:val="28"/>
                              <w:lang w:eastAsia="zh-CN"/>
                            </w:rPr>
                            <w:fldChar w:fldCharType="end"/>
                          </w:r>
                        </w:p>
                      </w:txbxContent>
                    </wps:txbx>
                    <wps:bodyPr rot="0" spcFirstLastPara="0" vertOverflow="overflow" horzOverflow="overflow" vert="horz" wrap="none" lIns="0" tIns="0" rIns="0" bIns="0" anchor="t" upright="0">
                      <a:spAutoFit/>
                    </wps:bodyPr>
                  </wps:wsp>
                </a:graphicData>
              </a:graphic>
            </wp:anchor>
          </w:drawing>
        </mc:Choice>
        <mc:Fallback>
          <w:pict>
            <v:shape id="_x0000_s0123" o:spid="_x0000_s012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8240"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eastAsia="宋体" w:hAnsi="Times New Roman" w:cs="Times New Roman" w:hint="default"/>
                        <w:sz w:val="28"/>
                        <w:szCs w:val="28"/>
                        <w:lang w:eastAsia="zh-CN"/>
                      </w:rPr>
                    </w:pPr>
                    <w:r>
                      <w:rPr>
                        <w:rFonts w:ascii="Times New Roman" w:hAnsi="Times New Roman" w:cs="Times New Roman" w:hint="default"/>
                        <w:sz w:val="28"/>
                        <w:szCs w:val="28"/>
                        <w:lang w:eastAsia="zh-CN"/>
                      </w:rPr>
                      <w:fldChar w:fldCharType="begin"/>
                    </w:r>
                    <w:r>
                      <w:rPr>
                        <w:rFonts w:ascii="Times New Roman" w:hAnsi="Times New Roman" w:cs="Times New Roman" w:hint="default"/>
                        <w:sz w:val="28"/>
                        <w:szCs w:val="28"/>
                        <w:lang w:eastAsia="zh-CN"/>
                      </w:rPr>
                      <w:instrText xml:space="preserve"> PAGE  \* MERGEFORMAT </w:instrText>
                    </w:r>
                    <w:r>
                      <w:rPr>
                        <w:rFonts w:ascii="Times New Roman" w:hAnsi="Times New Roman" w:cs="Times New Roman" w:hint="default"/>
                        <w:sz w:val="28"/>
                        <w:szCs w:val="28"/>
                        <w:lang w:eastAsia="zh-CN"/>
                      </w:rPr>
                      <w:fldChar w:fldCharType="separate"/>
                    </w:r>
                    <w:r>
                      <w:rPr>
                        <w:rFonts w:ascii="Times New Roman" w:hAnsi="Times New Roman" w:cs="Times New Roman" w:hint="default"/>
                        <w:sz w:val="28"/>
                        <w:szCs w:val="28"/>
                        <w:lang w:eastAsia="zh-CN"/>
                      </w:rPr>
                      <w:t xml:space="preserve">1</w:t>
                    </w:r>
                    <w:r>
                      <w:rPr>
                        <w:rFonts w:ascii="Times New Roman" w:hAnsi="Times New Roman" w:cs="Times New Roman" w:hint="default"/>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9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semiHidden="0"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Calibri" w:eastAsia="宋体" w:hAnsi="Calibri" w:cs="Times New Roman"/>
      <w:kern w:val="2"/>
      <w:sz w:val="32"/>
      <w:szCs w:val="32"/>
      <w:lang w:val="en-US" w:eastAsia="zh-CN" w:bidi="ar-SA"/>
    </w:rPr>
  </w:style>
  <w:style w:type="paragraph" w:styleId="Heading1">
    <w:name w:val="Heading 1"/>
    <w:basedOn w:val="Normal"/>
    <w:next w:val="Normal"/>
    <w:qFormat/>
    <w:pPr>
      <w:keepNext/>
      <w:keepLines/>
      <w:spacing w:beforeLines="0" w:beforeAutospacing="0" w:afterLines="0" w:afterAutospacing="0" w:line="240" w:lineRule="auto"/>
      <w:ind w:firstLine="880" w:firstLineChars="200"/>
      <w:outlineLvl w:val="0"/>
    </w:pPr>
    <w:rPr>
      <w:rFonts w:ascii="Calibri" w:eastAsia="黑体" w:hAnsi="Calibri" w:asciiTheme="minorAscii" w:hAnsiTheme="minorAscii"/>
      <w:kern w:val="44"/>
      <w:sz w:val="32"/>
      <w:szCs w:val="22"/>
    </w:rPr>
  </w:style>
  <w:style w:type="paragraph" w:styleId="Heading3">
    <w:name w:val="Heading 3"/>
    <w:basedOn w:val="Normal"/>
    <w:next w:val="Normal"/>
    <w:unhideWhenUsed/>
    <w:qFormat/>
    <w:pPr>
      <w:keepNext/>
      <w:keepLines/>
      <w:spacing w:before="260" w:beforeLines="0" w:beforeAutospacing="0" w:after="260" w:afterLines="0" w:afterAutospacing="0" w:line="413" w:lineRule="auto"/>
      <w:outlineLvl w:val="2"/>
    </w:pPr>
    <w:rPr>
      <w:b/>
      <w:sz w:val="32"/>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Normal(Web)">
    <w:name w:val="Normal (Web)"/>
    <w:basedOn w:val="Normal"/>
    <w:qFormat/>
    <w:pPr>
      <w:spacing w:before="0" w:beforeAutospacing="1" w:after="0" w:afterAutospacing="1"/>
      <w:ind w:left="0" w:right="0"/>
      <w:jc w:val="left"/>
    </w:pPr>
    <w:rPr>
      <w:kern w:val="0"/>
      <w:sz w:val="24"/>
      <w:lang w:val="en-US" w:eastAsia="zh-CN"/>
    </w:rPr>
  </w:style>
  <w:style w:type="character" w:styleId="Hyperlink">
    <w:name w:val="Hyperlink"/>
    <w:basedOn w:val="DefaultParagraphFont"/>
    <w:rPr>
      <w:color w:val="0000FF"/>
      <w:u w:val="single"/>
    </w:rPr>
  </w:style>
  <w:style w:type="paragraph" w:customStyle="1" w:styleId="样式1">
    <w:name w:val="样式1"/>
    <w:basedOn w:val="Normal"/>
    <w:qFormat/>
    <w:rPr>
      <w:rFonts w:ascii="Calibri" w:eastAsia="方正小标宋简体" w:hAnsi="Calibri" w:cs="Times New Roman"/>
      <w:sz w:val="44"/>
      <w:szCs w:val="22"/>
    </w:rPr>
  </w:style>
  <w:style w:type="paragraph" w:customStyle="1" w:styleId="正标1">
    <w:name w:val="正标1"/>
    <w:basedOn w:val="Normal"/>
    <w:qFormat/>
    <w:pPr>
      <w:spacing w:line="560" w:lineRule="exact"/>
      <w:ind w:firstLine="0"/>
      <w:jc w:val="center"/>
    </w:pPr>
    <w:rPr>
      <w:rFonts w:ascii="Calibri" w:eastAsia="方正小标宋简体" w:hAnsi="Calibri" w:cs="Times New Roman"/>
      <w:sz w:val="44"/>
      <w:szCs w:val="22"/>
    </w:rPr>
  </w:style>
  <w:style w:type="paragraph" w:customStyle="1" w:styleId="副标">
    <w:name w:val="副标"/>
    <w:basedOn w:val="Normal"/>
    <w:qFormat/>
    <w:pPr>
      <w:spacing w:line="560" w:lineRule="exact"/>
      <w:jc w:val="center"/>
    </w:pPr>
    <w:rPr>
      <w:rFonts w:ascii="Calibri" w:eastAsia="楷体" w:hAnsi="Calibri" w:asciiTheme="minorAscii" w:hAnsiTheme="minorAscii"/>
      <w:sz w:val="32"/>
      <w:szCs w:val="22"/>
    </w:rPr>
  </w:style>
  <w:style w:type="paragraph" w:customStyle="1" w:styleId="称谓">
    <w:name w:val="称谓"/>
    <w:basedOn w:val="Normal"/>
    <w:qFormat/>
    <w:pPr>
      <w:ind w:firstLine="0" w:firstLineChars="0"/>
      <w:jc w:val="left"/>
    </w:pPr>
    <w:rPr>
      <w:rFonts w:ascii="Calibri" w:eastAsia="仿宋_GB2312" w:hAnsi="Calibri" w:cs="黑体"/>
      <w:sz w:val="32"/>
      <w:szCs w:val="22"/>
    </w:rPr>
  </w:style>
  <w:style w:type="paragraph" w:customStyle="1" w:styleId="正文1">
    <w:name w:val="正文1"/>
    <w:basedOn w:val="Normal"/>
    <w:qFormat/>
    <w:pPr>
      <w:ind w:firstLine="880" w:firstLineChars="200"/>
    </w:pPr>
    <w:rPr>
      <w:rFonts w:ascii="Calibri" w:eastAsia="仿宋_GB2312" w:hAnsi="Calibri" w:asciiTheme="minorAscii" w:hAnsiTheme="minorAscii"/>
      <w:sz w:val="32"/>
      <w:szCs w:val="22"/>
    </w:rPr>
  </w:style>
  <w:style w:type="character" w:customStyle="1" w:styleId="正文1Char">
    <w:name w:val="正文1 Char"/>
    <w:qFormat/>
    <w:rPr>
      <w:rFonts w:ascii="Calibri" w:eastAsia="仿宋_GB2312" w:hAnsi="Calibri" w:asciiTheme="minorAscii" w:hAnsiTheme="minorAscii"/>
      <w:sz w:val="32"/>
      <w:szCs w:val="22"/>
    </w:rPr>
  </w:style>
  <w:style w:type="paragraph" w:customStyle="1" w:styleId="正文小标2">
    <w:name w:val="正文小标2"/>
    <w:basedOn w:val="正文1"/>
    <w:qFormat/>
    <w:rPr>
      <w:rFonts w:eastAsia="楷体"/>
      <w:b/>
    </w:rPr>
  </w:style>
  <w:style w:type="character" w:customStyle="1" w:styleId="正文小标2Char">
    <w:name w:val="正文小标2 Char"/>
    <w:qFormat/>
    <w:rPr>
      <w:rFonts w:eastAsia="楷体"/>
      <w:b/>
    </w:rPr>
  </w:style>
  <w:style w:type="paragraph" w:customStyle="1" w:styleId="正文小标2（段）">
    <w:name w:val="正文小标2（段）"/>
    <w:basedOn w:val="Normal"/>
    <w:qFormat/>
    <w:pPr>
      <w:ind w:firstLine="640" w:firstLineChars="200"/>
    </w:pPr>
    <w:rPr>
      <w:rFonts w:ascii="Calibri" w:eastAsia="楷体" w:hAnsi="Calibri" w:asciiTheme="minorAscii" w:hAnsiTheme="minorAscii"/>
      <w:b/>
      <w:sz w:val="32"/>
      <w:szCs w:val="22"/>
    </w:rPr>
  </w:style>
  <w:style w:type="character" w:customStyle="1" w:styleId="正文小标2（段）Char">
    <w:name w:val="正文小标2（段） Char"/>
    <w:qFormat/>
    <w:rPr>
      <w:rFonts w:ascii="Calibri" w:eastAsia="楷体" w:hAnsi="Calibri" w:asciiTheme="minorAscii" w:hAnsiTheme="minorAscii"/>
      <w:b/>
      <w:sz w:val="32"/>
      <w:szCs w:val="22"/>
    </w:rPr>
  </w:style>
  <w:style w:type="paragraph" w:customStyle="1" w:styleId="正文小标3（段）">
    <w:name w:val="正文小标3（段）"/>
    <w:basedOn w:val="Normal"/>
    <w:qFormat/>
    <w:pPr>
      <w:ind w:firstLine="420" w:firstLineChars="200"/>
    </w:pPr>
    <w:rPr>
      <w:rFonts w:ascii="Calibri" w:eastAsia="仿宋_GB2312" w:hAnsi="Calibri" w:asciiTheme="minorAscii" w:hAnsiTheme="minorAscii"/>
      <w:b/>
      <w:sz w:val="32"/>
      <w:szCs w:val="22"/>
    </w:rPr>
  </w:style>
  <w:style w:type="paragraph" w:customStyle="1" w:styleId="正标">
    <w:name w:val="正标"/>
    <w:basedOn w:val="Normal"/>
    <w:pPr>
      <w:spacing w:line="560" w:lineRule="exact"/>
      <w:jc w:val="center"/>
    </w:pPr>
    <w:rPr>
      <w:rFonts w:eastAsia="方正大标宋简体"/>
    </w:r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1</Pages>
  <Words>0</Words>
  <Characters>0</Characters>
  <Application>WPS Office_11.1.0.10314_F1E327BC-269C-435d-A152-05C5408002CA</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飞翔1368455266</dc:creator>
  <cp:lastModifiedBy>らろ゜</cp:lastModifiedBy>
  <cp:revision>2</cp:revision>
  <cp:lastPrinted>2021-02-04T08:22:00Z</cp:lastPrinted>
  <dcterms:created xsi:type="dcterms:W3CDTF">2021-02-04T06:28:00Z</dcterms:created>
  <dcterms:modified xsi:type="dcterms:W3CDTF">2021-02-05T01:34:35Z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2052-11.1.0.10314</vt:lpstr>
  </property>
</Properties>
</file>