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pStyle w:val="Normal(Web)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Style w:val="Strong"/>
          <w:rFonts w:ascii="方正小标宋简体" w:eastAsia="方正小标宋简体" w:hAnsi="方正小标宋简体" w:cs="方正小标宋简体" w:hint="default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Style w:val="Strong"/>
          <w:rFonts w:ascii="方正小标宋简体" w:eastAsia="方正小标宋简体" w:hAnsi="方正小标宋简体" w:cs="方正小标宋简体" w:hint="eastAsia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 xml:space="preserve">上五庄镇人民政府</w:t>
      </w:r>
      <w:r>
        <w:rPr>
          <w:rStyle w:val="Strong"/>
          <w:rFonts w:ascii="方正小标宋简体" w:eastAsia="方正小标宋简体" w:hAnsi="方正小标宋简体" w:cs="方正小标宋简体" w:hint="eastAsia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 xml:space="preserve">2021年度 </w:t>
      </w:r>
    </w:p>
    <w:p>
      <w:pPr>
        <w:pStyle w:val="Normal(Web)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color w:val="auto"/>
        </w:rPr>
      </w:pPr>
      <w:r>
        <w:rPr>
          <w:rStyle w:val="Strong"/>
          <w:rFonts w:ascii="方正小标宋简体" w:eastAsia="方正小标宋简体" w:hAnsi="方正小标宋简体" w:cs="方正小标宋简体" w:hint="eastAsia"/>
          <w:b w:val="0"/>
          <w:bCs/>
          <w:i w:val="0"/>
          <w:iCs w:val="0"/>
          <w:caps w:val="0"/>
          <w:color w:val="auto"/>
          <w:spacing w:val="0"/>
          <w:sz w:val="44"/>
          <w:szCs w:val="44"/>
        </w:rPr>
        <w:t xml:space="preserve">政府信息公开工作年度报告</w:t>
      </w:r>
      <w:bookmarkStart w:id="0" w:name="_GoBack"/>
      <w:bookmarkEnd w:id="0"/>
    </w:p>
    <w:p>
      <w:pPr>
        <w:pStyle w:val="Normal(Web)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 w:firstLineChars="200"/>
        <w:jc w:val="both"/>
        <w:textAlignment w:val="auto"/>
        <w:rPr>
          <w:rStyle w:val="Strong"/>
          <w:rFonts w:ascii="微软雅黑" w:eastAsia="微软雅黑" w:hAnsi="微软雅黑" w:cs="微软雅黑" w:hint="eastAsia"/>
          <w:i w:val="0"/>
          <w:iCs w:val="0"/>
          <w:caps w:val="0"/>
          <w:color w:val="auto"/>
          <w:spacing w:val="0"/>
          <w:sz w:val="24"/>
          <w:szCs w:val="24"/>
        </w:rPr>
      </w:pPr>
    </w:p>
    <w:p>
      <w:pPr>
        <w:pStyle w:val="Normal(Web)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Style w:val="Strong"/>
          <w:rFonts w:ascii="Times New Roman" w:eastAsia="黑体" w:hAnsi="Times New Roman" w:cs="Times New Roman" w:hint="default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根据《中华人民共和国政府信息公开条例》（以下简称《条例》），现公布我镇2021年政府信息公开年度报告。本报告由总体情况、主动公开政府信息情况、收到和处理政府信息公开申请情况、政府信息公开行政复议、行政诉讼情况、存在的主要问题及改进情况、其他需要报告的事项等六部分组成，所列政府信息公开数据统计期限自2021年1月1日至2021年12月28日。如对本报告有疑问或意见建议，请与上五庄镇人民政府联系，地址：西宁市湟中区上五庄镇友爱路77号，联系电话：0971-2260155。</w:t>
      </w:r>
    </w:p>
    <w:p>
      <w:pPr>
        <w:pStyle w:val="Normal(Web)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Strong"/>
          <w:rFonts w:ascii="黑体" w:eastAsia="黑体" w:hAnsi="黑体" w:cs="黑体" w:hint="eastAsia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 xml:space="preserve"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202</w:t>
      </w: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1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年，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根据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党中央、国务院，省委、省政府，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市委、市政府，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区委、区政府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关于全面推进政务公开工作决策部署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我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镇深入贯彻落实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《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条例》</w:t>
      </w: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规定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，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严格按照“以公开为原则，以不公开为例外”的原则，科学划分“主动公开、依申请公开和不公开”三类信息，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精心组织，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切实做好政务信息公开内容的收集、更新、维护、上报等日常工作，有序推进政府信息公开工作，较好地满足了社会公众获取政府信息的需求。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仿宋_GB2312" w:hAnsi="Times New Roman" w:cs="Times New Roman" w:hint="default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一是强化</w:t>
      </w:r>
      <w:r>
        <w:rPr>
          <w:rFonts w:ascii="Times New Roman" w:eastAsia="仿宋_GB2312" w:hAnsi="Times New Roman" w:cs="Times New Roman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组织领导</w:t>
      </w:r>
      <w:r>
        <w:rPr>
          <w:rFonts w:ascii="Times New Roman" w:eastAsia="仿宋_GB2312" w:hAnsi="Times New Roman" w:cs="Times New Roman" w:hint="default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，</w:t>
      </w:r>
      <w:r>
        <w:rPr>
          <w:rFonts w:ascii="Times New Roman" w:eastAsia="仿宋_GB2312" w:hAnsi="Times New Roman" w:cs="Times New Roman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压实</w:t>
      </w:r>
      <w:r>
        <w:rPr>
          <w:rFonts w:ascii="Times New Roman" w:eastAsia="仿宋_GB2312" w:hAnsi="Times New Roman" w:cs="Times New Roman" w:hint="default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工作</w:t>
      </w:r>
      <w:r>
        <w:rPr>
          <w:rFonts w:ascii="Times New Roman" w:eastAsia="仿宋_GB2312" w:hAnsi="Times New Roman" w:cs="Times New Roman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责任</w:t>
      </w:r>
      <w:r>
        <w:rPr>
          <w:rFonts w:ascii="Times New Roman" w:eastAsia="仿宋_GB2312" w:hAnsi="Times New Roman" w:cs="Times New Roman" w:hint="default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。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我镇始终以“为人民服务”为宗旨，按照政府信息公开的职责和任务，</w:t>
      </w: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落实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工作责任，接受群众和社会监督。明确专人负责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政府信息公开工作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，将政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府信息公开工作纳入日常管理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坚持主要负责人亲自抓，分管领导具体抓，党政办牵头，各部门</w:t>
      </w: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密切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配合，形成了职责分明、分工合理、各负其责、齐抓共管的工作局面。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_GB2312" w:hAnsi="Times New Roman" w:cs="Times New Roman" w:hint="default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二是规范信息</w:t>
      </w:r>
      <w:r>
        <w:rPr>
          <w:rFonts w:ascii="Times New Roman" w:eastAsia="仿宋_GB2312" w:hAnsi="Times New Roman" w:cs="Times New Roman" w:hint="default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管理</w:t>
      </w:r>
      <w:r>
        <w:rPr>
          <w:rFonts w:ascii="Times New Roman" w:eastAsia="仿宋_GB2312" w:hAnsi="Times New Roman" w:cs="Times New Roman" w:hint="default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，</w:t>
      </w:r>
      <w:r>
        <w:rPr>
          <w:rFonts w:ascii="Times New Roman" w:eastAsia="仿宋_GB2312" w:hAnsi="Times New Roman" w:cs="Times New Roman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确保</w:t>
      </w:r>
      <w:r>
        <w:rPr>
          <w:rFonts w:ascii="Times New Roman" w:eastAsia="仿宋_GB2312" w:hAnsi="Times New Roman" w:cs="Times New Roman" w:hint="default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信息</w:t>
      </w:r>
      <w:r>
        <w:rPr>
          <w:rFonts w:ascii="Times New Roman" w:eastAsia="仿宋_GB2312" w:hAnsi="Times New Roman" w:cs="Times New Roman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质量</w:t>
      </w:r>
      <w:r>
        <w:rPr>
          <w:rFonts w:ascii="Times New Roman" w:eastAsia="仿宋_GB2312" w:hAnsi="Times New Roman" w:cs="Times New Roman" w:hint="default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。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严格按照信息公开目录对应公开信息，不断提高信息公开的办理能力和水平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，对发生变化和失效信息及时更新，保证信息的及时性和准确性。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在公开内容上，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根据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区政府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政务公开相关文件的要求，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围绕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与群众切身利益密切相关的规范性文件和政策解读，以及群众最关心、社会最敏感、反映最强烈的热点问题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按照“合法、全面、准确、及时”的要求公开政府信息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default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三是</w:t>
      </w:r>
      <w:r>
        <w:rPr>
          <w:rFonts w:ascii="Times New Roman" w:eastAsia="仿宋_GB2312" w:hAnsi="Times New Roman" w:cs="Times New Roman" w:hint="default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加强</w:t>
      </w:r>
      <w:r>
        <w:rPr>
          <w:rFonts w:ascii="Times New Roman" w:eastAsia="仿宋_GB2312" w:hAnsi="Times New Roman" w:cs="Times New Roman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监督</w:t>
      </w:r>
      <w:r>
        <w:rPr>
          <w:rFonts w:ascii="Times New Roman" w:eastAsia="仿宋_GB2312" w:hAnsi="Times New Roman" w:cs="Times New Roman" w:hint="default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检查</w:t>
      </w:r>
      <w:r>
        <w:rPr>
          <w:rFonts w:ascii="Times New Roman" w:eastAsia="仿宋_GB2312" w:hAnsi="Times New Roman" w:cs="Times New Roman" w:hint="default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，</w:t>
      </w:r>
      <w:r>
        <w:rPr>
          <w:rFonts w:ascii="Times New Roman" w:eastAsia="仿宋_GB2312" w:hAnsi="Times New Roman" w:cs="Times New Roman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提高</w:t>
      </w:r>
      <w:r>
        <w:rPr>
          <w:rFonts w:ascii="Times New Roman" w:eastAsia="仿宋_GB2312" w:hAnsi="Times New Roman" w:cs="Times New Roman" w:hint="default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工作成效。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我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镇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在做好202</w:t>
      </w: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1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年度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政府信息公开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工作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的过程中</w:t>
      </w: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依法</w:t>
      </w: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依规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管理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，加强</w:t>
      </w: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监督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检查, </w:t>
      </w: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促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使政府信息公开工作制度化</w:t>
      </w: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、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规范化</w:t>
      </w: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、常态化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。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不断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强化责任，严肃纪律，保证政府信息公开工作的连续性。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认真遵循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信息</w:t>
      </w: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监督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检查制度，严格把握公开程序，广泛接受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人民群众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的监督，保障公众知情权、参与权、表达权和监督权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边学习、边修改、边完善，确保政府信息公开工作取得实在成效。</w:t>
      </w:r>
    </w:p>
    <w:p>
      <w:pPr>
        <w:pStyle w:val="Normal(Web)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color w:val="auto"/>
        </w:rPr>
      </w:pPr>
      <w:r>
        <w:rPr>
          <w:rStyle w:val="Strong"/>
          <w:rFonts w:ascii="黑体" w:eastAsia="黑体" w:hAnsi="黑体" w:cs="黑体" w:hint="eastAsia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 xml:space="preserve">二、主动公开政府信息情况</w:t>
      </w:r>
    </w:p>
    <w:tbl>
      <w:tblPr>
        <w:tblStyle w:val="TableNormal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8"/>
        <w:gridCol w:w="1859"/>
        <w:gridCol w:w="1859"/>
        <w:gridCol w:w="3285"/>
      </w:tblGrid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第二十条第(一)项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信息内容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本年制发件数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本年废止件数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现行有效件数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规章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行政规范性文件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第二十条第(五)项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信息内容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本年处理决定数量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行政许可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第二十条第(六)项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信息内容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本年处理决定数量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行政处罚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行政强制</w:t>
            </w:r>
          </w:p>
        </w:tc>
        <w:tc>
          <w:tcPr>
            <w:tcW w:w="7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02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第二十条第(八)项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信息内容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本年收费金额(单位:万元)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行政事业性收费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</w:tbl>
    <w:p>
      <w:pPr>
        <w:pStyle w:val="Normal(Web)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color w:val="auto"/>
        </w:rPr>
      </w:pPr>
      <w:r>
        <w:rPr>
          <w:rStyle w:val="Strong"/>
          <w:rFonts w:ascii="黑体" w:eastAsia="黑体" w:hAnsi="黑体" w:cs="黑体" w:hint="eastAsia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 xml:space="preserve">三、收到和处理政府信息公开申请情况</w:t>
      </w:r>
    </w:p>
    <w:tbl>
      <w:tblPr>
        <w:tblStyle w:val="TableNormal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02"/>
        <w:gridCol w:w="858"/>
        <w:gridCol w:w="2905"/>
        <w:gridCol w:w="620"/>
        <w:gridCol w:w="620"/>
        <w:gridCol w:w="620"/>
        <w:gridCol w:w="620"/>
        <w:gridCol w:w="620"/>
        <w:gridCol w:w="648"/>
        <w:gridCol w:w="648"/>
      </w:tblGrid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466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(本列数据的勾稽关系为:第一项加第二项之和，等于第三项加第四项之和)</w:t>
            </w:r>
          </w:p>
        </w:tc>
        <w:tc>
          <w:tcPr>
            <w:tcW w:w="45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申请人情况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466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自然人</w:t>
            </w:r>
          </w:p>
        </w:tc>
        <w:tc>
          <w:tcPr>
            <w:tcW w:w="32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法人或其他组织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总计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466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商业</w:t>
            </w:r>
          </w:p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企业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科研</w:t>
            </w:r>
          </w:p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机构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社会公益组织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法律服务机构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其他</w:t>
            </w:r>
          </w:p>
        </w:tc>
        <w:tc>
          <w:tcPr>
            <w:tcW w:w="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4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一、本年新收政府信息公开申请数量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4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二、上年结转政府信息公开申请数量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三、本年度办理结果</w:t>
            </w: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(一)予以公开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(二)部分公开(区分处理的，只计这一情形，不计其他情形)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(三)不予公开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1.属于国家秘密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2.其他法律行政法规禁止公开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3.危及“三安全一稳定”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4.保护第三方合法权益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5.属于三类内部事务信息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6.属于四类过程性信息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7.属于行政执法案卷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8.属于行政查询事项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(四)无法提供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1.本机关不掌握相关政府信息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2.没有现成信息需要另行制作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3.补正后申请内容仍不明确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(五)不予处理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1.信访举报投诉类申请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2.重复申请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3.要求提供公开出版物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4.无正当理由大量反复申请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5.要求行政机关确认或重新出具已获取信息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(六)其他处理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1.申请人无正当理由逾期不补正、行政机关不再处理其政府信息公开申请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2.申请人逾期未按收费通知要求缴纳费用、行政机关不再处理其政府信息公开申请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3.其他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(七)总计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4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四、结转下年度继续办理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leftChars="0" w:rightChars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</w:tr>
    </w:tbl>
    <w:p>
      <w:pPr>
        <w:pStyle w:val="Normal(Web)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color w:val="auto"/>
        </w:rPr>
      </w:pPr>
      <w:r>
        <w:rPr>
          <w:rStyle w:val="Strong"/>
          <w:rFonts w:ascii="黑体" w:eastAsia="黑体" w:hAnsi="黑体" w:cs="黑体" w:hint="eastAsia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 xml:space="preserve">四、政府信息公开行政复议、行政诉讼情况</w:t>
      </w:r>
    </w:p>
    <w:tbl>
      <w:tblPr>
        <w:tblStyle w:val="TableNormal"/>
        <w:tblW w:w="8853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24"/>
        <w:gridCol w:w="599"/>
        <w:gridCol w:w="599"/>
        <w:gridCol w:w="599"/>
        <w:gridCol w:w="490"/>
        <w:gridCol w:w="587"/>
        <w:gridCol w:w="587"/>
        <w:gridCol w:w="587"/>
        <w:gridCol w:w="587"/>
        <w:gridCol w:w="599"/>
        <w:gridCol w:w="587"/>
        <w:gridCol w:w="587"/>
        <w:gridCol w:w="587"/>
        <w:gridCol w:w="587"/>
        <w:gridCol w:w="624"/>
        <w:gridCol w:w="23"/>
      </w:tblGrid>
      <w:tr>
        <w:tblPrEx>
          <w:tblW w:w="8853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    行政复议</w:t>
            </w:r>
          </w:p>
        </w:tc>
        <w:tc>
          <w:tcPr>
            <w:tcW w:w="59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                     行政诉讼</w:t>
            </w:r>
          </w:p>
        </w:tc>
      </w:tr>
      <w:tr>
        <w:tblPrEx>
          <w:tblW w:w="8853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结果维持</w:t>
            </w:r>
          </w:p>
        </w:tc>
        <w:tc>
          <w:tcPr>
            <w:tcW w:w="5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结果纠正</w:t>
            </w:r>
          </w:p>
        </w:tc>
        <w:tc>
          <w:tcPr>
            <w:tcW w:w="5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其他结果</w:t>
            </w:r>
          </w:p>
        </w:tc>
        <w:tc>
          <w:tcPr>
            <w:tcW w:w="5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尚未审结</w:t>
            </w:r>
          </w:p>
        </w:tc>
        <w:tc>
          <w:tcPr>
            <w:tcW w:w="4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总计</w:t>
            </w:r>
          </w:p>
        </w:tc>
        <w:tc>
          <w:tcPr>
            <w:tcW w:w="29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  未经复议直接起诉</w:t>
            </w:r>
          </w:p>
        </w:tc>
        <w:tc>
          <w:tcPr>
            <w:tcW w:w="29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        复议后起诉</w:t>
            </w:r>
          </w:p>
        </w:tc>
      </w:tr>
      <w:tr>
        <w:tblPrEx>
          <w:tblW w:w="8853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6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结果维持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结果纠正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其他结果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尚未审结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总计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结果维持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结果纠正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其他结果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尚未审结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Normal(Web)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  <w:t xml:space="preserve">总计</w:t>
            </w:r>
          </w:p>
        </w:tc>
        <w:tc>
          <w:tcPr>
            <w:tcW w:w="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</w:tr>
      <w:tr>
        <w:tblPrEx>
          <w:tblW w:w="8853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color w:val="auto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ascii="宋体" w:eastAsia="宋体" w:hAnsi="宋体" w:asciiTheme="minorEastAsia" w:eastAsiaTheme="minorEastAsia" w:hAnsiTheme="minorEastAsia" w:cs="Arial" w:cstheme="minorEastAsia" w:hint="eastAsia"/>
                <w:color w:val="auto"/>
                <w:sz w:val="20"/>
                <w:szCs w:val="20"/>
              </w:rPr>
            </w:pPr>
          </w:p>
        </w:tc>
      </w:tr>
    </w:tbl>
    <w:p>
      <w:pPr>
        <w:pStyle w:val="Normal(Web)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color w:val="auto"/>
        </w:rPr>
      </w:pPr>
      <w:r>
        <w:rPr>
          <w:rStyle w:val="Strong"/>
          <w:rFonts w:ascii="黑体" w:eastAsia="黑体" w:hAnsi="黑体" w:cs="黑体" w:hint="eastAsia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 xml:space="preserve"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（一）存在问题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202</w:t>
      </w: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1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年度，我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镇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政府信息公开工作虽然取得了一定的成绩，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但也深刻认识到仍存在着一些不足。</w:t>
      </w:r>
      <w:r>
        <w:rPr>
          <w:rFonts w:ascii="Times New Roman" w:eastAsia="仿宋_GB2312" w:hAnsi="Times New Roman" w:cs="Times New Roman" w:hint="default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一是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公开信息实效性不够强，公布内容不够全面；</w:t>
      </w:r>
      <w:r>
        <w:rPr>
          <w:rFonts w:ascii="Times New Roman" w:eastAsia="仿宋_GB2312" w:hAnsi="Times New Roman" w:cs="Times New Roman" w:hint="default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二是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信息公开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资源整合归类有待进一步优化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；</w:t>
      </w:r>
      <w:r>
        <w:rPr>
          <w:rFonts w:ascii="Times New Roman" w:eastAsia="仿宋_GB2312" w:hAnsi="Times New Roman" w:cs="Times New Roman" w:hint="default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三是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部分工作人员政府信息公开意识有待进一步提升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楷体_GB2312" w:eastAsia="楷体_GB2312" w:hAnsi="宋体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（二）改进情况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针对存在问题，在今后的工作中我镇将从以下几</w:t>
      </w: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个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方面抓好信息公开工作。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一是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建立健全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制度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，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规范信息公开流程，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及时梳理更新动态，确保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目录与内容的一致性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，提高信息质量和时效性。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二是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明确专人管理，提升平台管理能力，加强各科室协调沟通和资源整合，精准、细化栏目类别，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方便公众查阅政府信息。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三是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加强宣传培训，强化意识引导，进一步提高依法行政思维和信息公开意识。</w:t>
      </w:r>
    </w:p>
    <w:p>
      <w:pPr>
        <w:pStyle w:val="Normal(Web)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color w:val="auto"/>
        </w:rPr>
      </w:pPr>
      <w:r>
        <w:rPr>
          <w:rStyle w:val="Strong"/>
          <w:rFonts w:ascii="黑体" w:eastAsia="黑体" w:hAnsi="黑体" w:cs="黑体" w:hint="eastAsia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 xml:space="preserve"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暂无其他需要报告事项</w:t>
      </w: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520" w:firstLineChars="1100"/>
        <w:jc w:val="both"/>
        <w:textAlignment w:val="auto"/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西宁市湟中区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上五庄镇人民政府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jc w:val="both"/>
        <w:textAlignment w:val="auto"/>
        <w:rPr>
          <w:rFonts w:ascii="Times New Roman" w:hAnsi="Times New Roman" w:cs="Times New Roman" w:hint="default"/>
          <w:color w:val="auto"/>
          <w:sz w:val="32"/>
          <w:szCs w:val="32"/>
        </w:rPr>
      </w:pP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202</w:t>
      </w: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2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年</w:t>
      </w: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1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月</w:t>
      </w:r>
      <w:r>
        <w:rPr>
          <w:rFonts w:ascii="Times New Roman" w:eastAsia="仿宋_GB2312" w:hAnsi="Times New Roman" w:cs="Times New Roman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13</w:t>
      </w:r>
      <w:r>
        <w:rPr>
          <w:rFonts w:ascii="Times New Roman" w:eastAsia="仿宋_GB2312" w:hAnsi="Times New Roman" w:cs="Times New Roman" w:hint="default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日</w:t>
      </w:r>
    </w:p>
    <w:sectPr>
      <w:footerReference w:type="even" r:id="rId6"/>
      <w:footerReference w:type="default" r:id="rId7"/>
      <w:pgSz w:w="11906" w:h="16838" w:orient="portrait"/>
      <w:pgMar w:top="2098" w:right="1474" w:bottom="1984" w:left="1587" w:header="851" w:footer="1417" w:gutter="0"/>
      <w:pgNumType w:fmt="numberInDash"/>
      <w:cols w:num="1" w:space="0">
        <w:col w:w="8845"/>
      </w:cols>
      <w:rtlGutter w:val="0"/>
      <w:docGrid w:type="linesAndChar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</w:pPr>
    <w:r>
      <w:rPr>
        <w:sz w:val="18"/>
      </w:rPr>
      <mc:AlternateContent xmlns:mc="http://schemas.openxmlformats.org/markup-compatibility/2006"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1" name="_x0000_s2655"/>
              <wp:cNvGraphicFramePr>
                <a:graphicFrameLocks xmlns:a="http://schemas.openxmlformats.org/drawingml/2006/main"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Fonts w:ascii="宋体" w:eastAsia="宋体" w:hAnsi="宋体" w:cs="宋体" w:hint="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color w:val="auto"/>
                              <w:sz w:val="28"/>
                              <w:szCs w:val="28"/>
                            </w:rPr>
                            <w:t xml:space="preserve">2</w:t>
                          </w:r>
                          <w:r>
                            <w:rPr>
                              <w:rFonts w:ascii="宋体" w:eastAsia="宋体" w:hAnsi="宋体" w:cs="宋体" w:hint="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2655" o:spid="_x0000_s2657" type="#_x0000_t202" style="height:2in;margin-left:0;margin-top:0;mso-height-relative:page;mso-position-horizontal:outside;mso-position-horizontal-relative:margin;mso-width-relative:page;mso-wrap-distance-bottom:0;mso-wrap-distance-left:9pt;mso-wrap-distance-right:9pt;mso-wrap-distance-top:0;mso-wrap-style:none;position:absolute;v-text-anchor:top;width:2in;z-index:251660288" coordsize="21600,21600" filled="f" stroked="f" strokeweight="0.5pt">
              <w10:bordertop type="none" width="0"/>
              <w10:borderleft type="none" width="0"/>
              <w10:borderbottom type="none" width="0"/>
              <w10:borderright type="none" width="0"/>
              <v:textbox style="layout-flow:horizontal;mso-fit-shape-to-text:t" inset="0,0,0,0">
                <w:txbxContent>
                  <w:p>
                    <w:pPr>
                      <w:pStyle w:val="Footer"/>
                    </w:pPr>
                    <w:r>
                      <w:rPr>
                        <w:rFonts w:ascii="宋体" w:eastAsia="宋体" w:hAnsi="宋体" w:cs="宋体" w:hint="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color w:val="auto"/>
                        <w:sz w:val="28"/>
                        <w:szCs w:val="28"/>
                      </w:rPr>
                      <w:t xml:space="preserve">2</w:t>
                    </w:r>
                    <w:r>
                      <w:rPr>
                        <w:rFonts w:ascii="宋体" w:eastAsia="宋体" w:hAnsi="宋体" w:cs="宋体" w:hint="eastAsia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</w:pPr>
    <w:r>
      <w:rPr>
        <w:sz w:val="18"/>
      </w:rPr>
      <mc:AlternateContent xmlns:mc="http://schemas.openxmlformats.org/markup-compatibility/2006"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2" name="_x0000_s2656"/>
              <wp:cNvGraphicFramePr>
                <a:graphicFrameLocks xmlns:a="http://schemas.openxmlformats.org/drawingml/2006/main"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2656" o:spid="_x0000_s2658" type="#_x0000_t202" style="height:2in;margin-left:0;margin-top:0;mso-height-relative:page;mso-position-horizontal:outside;mso-position-horizontal-relative:margin;mso-width-relative:page;mso-wrap-distance-bottom:0;mso-wrap-distance-left:9pt;mso-wrap-distance-right:9pt;mso-wrap-distance-top:0;mso-wrap-style:none;position:absolute;v-text-anchor:top;width:2in;z-index:251659264" coordsize="21600,21600" filled="f" stroked="f" strokeweight="0.5pt">
              <w10:bordertop type="none" width="0"/>
              <w10:borderleft type="none" width="0"/>
              <w10:borderbottom type="none" width="0"/>
              <w10:borderright type="none" width="0"/>
              <v:textbox style="layout-flow:horizontal;mso-fit-shape-to-text:t" inset="0,0,0,0">
                <w:txbxContent>
                  <w:p>
                    <w:pPr>
                      <w:pStyle w:val="Footer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10"/>
  <w:embedSystemFonts/>
  <w:bordersDoNotSurroundFooter w:val="0"/>
  <w:bordersDoNotSurroundHeader w:val="0"/>
  <w:doNotTrackMoves/>
  <w:defaultTabStop w:val="420"/>
  <w:evenAndOddHeaders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(Web)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Strong">
    <w:name w:val="Strong"/>
    <w:basedOn w:val="DefaultParagraphFont"/>
    <w:qFormat/>
    <w:rPr>
      <w:b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D06A5D9FBCC14F69A03DDF09811981E9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D06A5D9FBCC14F69A03DDF09811981E9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D06A5D9FBCC14F69A03DDF09811981E9</vt:lpstr>
  </proper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D06A5D9FBCC14F69A03DDF09811981E9</vt:lpwstr>
  </property>
</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0</Words>
  <Characters>0</Characters>
  <Application>WPS Office_11.1.0.11294_F1E327BC-269C-435d-A152-05C5408002CA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祝您健康</dc:creator>
  <cp:lastModifiedBy>黄娟</cp:lastModifiedBy>
  <cp:revision>1</cp:revision>
  <dcterms:created xsi:type="dcterms:W3CDTF">2022-01-10T08:52:00Z</dcterms:created>
  <dcterms:modified xsi:type="dcterms:W3CDTF">2022-01-19T07:21:56Z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D06A5D9FBCC14F69A03DDF09811981E9</vt:lpstr>
  </property>
</Properties>
</file>