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pPr w:leftFromText="180" w:rightFromText="180" w:vertAnchor="text" w:horzAnchor="page" w:tblpX="1538" w:tblpY="-756"/>
        <w:tblOverlap w:val="never"/>
        <w:tblW w:w="8420" w:type="dxa"/>
        <w:tblCellSpacing w:w="0" w:type="dxa"/>
        <w:tblInd w:w="0" w:type="dxa"/>
        <w:shd w:val="clear" w:color="auto" w:fill="FFFFFF"/>
        <w:tblLayout w:type="fixed"/>
        <w:tblCellMar>
          <w:top w:w="0" w:type="dxa"/>
          <w:left w:w="0" w:type="dxa"/>
          <w:bottom w:w="0" w:type="dxa"/>
          <w:right w:w="0" w:type="dxa"/>
        </w:tblCellMar>
        <w:tblLook w:val="0600" w:firstRow="0" w:lastRow="0" w:firstColumn="0" w:lastColumn="0" w:noHBand="1" w:noVBand="1"/>
      </w:tblPr>
      <w:tblGrid>
        <w:gridCol w:w="8420"/>
      </w:tblGrid>
      <w:tr>
        <w:tblPrEx>
          <w:tblW w:w="8420" w:type="dxa"/>
          <w:tblCellSpacing w:w="0" w:type="dxa"/>
          <w:tblInd w:w="0" w:type="dxa"/>
          <w:shd w:val="clear" w:color="auto" w:fill="FFFFFF"/>
          <w:tblLayout w:type="fixed"/>
          <w:tblCellMar>
            <w:top w:w="0" w:type="dxa"/>
            <w:left w:w="0" w:type="dxa"/>
            <w:bottom w:w="0" w:type="dxa"/>
            <w:right w:w="0" w:type="dxa"/>
          </w:tblCellMar>
        </w:tblPrEx>
        <w:trPr>
          <w:trHeight w:val="13350"/>
          <w:tblCellSpacing w:w="0" w:type="dxa"/>
        </w:trPr>
        <w:tc>
          <w:tcPr>
            <w:tcW w:w="8420" w:type="dxa"/>
            <w:shd w:val="clear" w:color="auto" w:fill="FFFFFF"/>
            <w:noWrap w:val="0"/>
            <w:vAlign w:val="center"/>
          </w:tcPr>
          <w:p>
            <w:pPr>
              <w:keepNext w:val="0"/>
              <w:keepLines w:val="0"/>
              <w:pageBreakBefore w:val="0"/>
              <w:kinsoku/>
              <w:wordWrap/>
              <w:overflowPunct/>
              <w:topLinePunct w:val="0"/>
              <w:autoSpaceDE/>
              <w:autoSpaceDN/>
              <w:bidi w:val="0"/>
              <w:adjustRightInd/>
              <w:snapToGrid/>
              <w:spacing w:line="580" w:lineRule="exact"/>
              <w:ind w:right="1120"/>
              <w:jc w:val="left"/>
              <w:textAlignment w:val="auto"/>
              <w:rPr>
                <w:rFonts w:ascii="黑体" w:eastAsia="黑体" w:hAnsi="黑体" w:hint="eastAsia"/>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 xml:space="preserve">西宁市湟中区教育局政府信息</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eastAsia="仿宋_GB2312" w:hAnsi="仿宋_GB2312" w:cs="仿宋_GB2312" w:hint="eastAsia"/>
                <w:sz w:val="28"/>
                <w:szCs w:val="28"/>
                <w:lang w:val="en-US" w:eastAsia="zh-CN"/>
              </w:rPr>
            </w:pPr>
            <w:r>
              <w:rPr>
                <w:rFonts w:ascii="方正小标宋简体" w:eastAsia="方正小标宋简体" w:hAnsi="方正小标宋简体" w:cs="方正小标宋简体" w:hint="eastAsia"/>
                <w:sz w:val="44"/>
                <w:szCs w:val="44"/>
                <w:lang w:val="en-US" w:eastAsia="zh-CN"/>
              </w:rPr>
              <w:t xml:space="preserve">公开工作年度报告</w:t>
            </w:r>
          </w:p>
          <w:p>
            <w:pPr>
              <w:widowControl/>
              <w:spacing w:line="432" w:lineRule="atLeast"/>
              <w:ind w:firstLine="480"/>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本报告由西宁市湟中区教育局根据《中华人民共和国政府信息公开条例》规定编制，内容包括总体情况、主动公开政府信息的情况、收到和处理政府信息公开申请情况、政府信息公开行政复议及行政诉讼情况、信息公开工作存在的主要问题及改进情况、其他需要报告的事项等六个方面。本报告中所列数据的统计期限自2021年1月1日起至2021年12月28日止。</w:t>
            </w:r>
          </w:p>
          <w:p>
            <w:pPr>
              <w:widowControl/>
              <w:spacing w:line="432" w:lineRule="atLeast"/>
              <w:ind w:firstLine="480"/>
              <w:rPr>
                <w:rFonts w:ascii="Times New Roman" w:eastAsia="仿宋_GB2312" w:hAnsi="Times New Roman" w:cs="Times New Roman" w:hint="eastAsia"/>
                <w:sz w:val="32"/>
                <w:szCs w:val="32"/>
                <w:lang w:val="en-US" w:eastAsia="zh-CN"/>
              </w:rPr>
            </w:pPr>
            <w:r>
              <w:rPr>
                <w:rFonts w:ascii="黑体" w:eastAsia="黑体" w:hAnsi="黑体" w:cs="黑体" w:hint="eastAsia"/>
                <w:b w:val="0"/>
                <w:bCs w:val="0"/>
                <w:color w:val="333333"/>
                <w:kern w:val="0"/>
                <w:sz w:val="32"/>
                <w:szCs w:val="32"/>
              </w:rPr>
              <w:t xml:space="preserve">一、总体情况</w:t>
            </w:r>
          </w:p>
          <w:p>
            <w:pPr>
              <w:numPr>
                <w:ilvl w:val="0"/>
                <w:numId w:val="0"/>
              </w:numPr>
              <w:ind w:firstLine="643" w:firstLineChars="200"/>
              <w:jc w:val="both"/>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 xml:space="preserve">（一）主动公开情况。</w:t>
            </w:r>
            <w:r>
              <w:rPr>
                <w:rFonts w:ascii="仿宋_GB2312" w:eastAsia="仿宋_GB2312" w:hAnsi="仿宋_GB2312" w:cs="仿宋_GB2312" w:hint="eastAsia"/>
                <w:sz w:val="32"/>
                <w:szCs w:val="32"/>
                <w:lang w:val="en-US" w:eastAsia="zh-CN"/>
              </w:rPr>
              <w:t xml:space="preserve">2021年，湟中区教育局按要求在微信公众平台和湟中区人民政府网站主动公开政务信息219条，其中，教育系统内部组织活动动态52条；教育系统组织开展会议信息及领导视察简讯33条；转发教育热点及社会热点信息30条；致学生、家长及老师的温馨提示2条；各类考试动态信息19篇；告示公告类信息12条；有关教育的美文转载11条；文明创城创卫信息8条；党史学习信息转载及发布50条；转发学校动态2条。</w:t>
            </w:r>
          </w:p>
          <w:p>
            <w:pPr>
              <w:numPr>
                <w:ilvl w:val="0"/>
                <w:numId w:val="0"/>
              </w:numPr>
              <w:ind w:firstLine="643" w:firstLineChars="200"/>
              <w:jc w:val="both"/>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 xml:space="preserve">（二）依申请公开情况。</w:t>
            </w:r>
            <w:r>
              <w:rPr>
                <w:rFonts w:ascii="仿宋_GB2312" w:eastAsia="仿宋_GB2312" w:hAnsi="仿宋_GB2312" w:cs="仿宋_GB2312" w:hint="eastAsia"/>
                <w:sz w:val="32"/>
                <w:szCs w:val="32"/>
                <w:lang w:val="en-US" w:eastAsia="zh-CN"/>
              </w:rPr>
              <w:t xml:space="preserve">2021年湟中区教育局没有收到政府信息依申请公开。</w:t>
            </w:r>
          </w:p>
          <w:p>
            <w:pPr>
              <w:numPr>
                <w:ilvl w:val="0"/>
                <w:numId w:val="0"/>
              </w:numPr>
              <w:ind w:firstLine="643" w:firstLineChars="200"/>
              <w:jc w:val="both"/>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 xml:space="preserve">（三）政府信息管理。</w:t>
            </w:r>
            <w:r>
              <w:rPr>
                <w:rFonts w:ascii="仿宋_GB2312" w:eastAsia="仿宋_GB2312" w:hAnsi="仿宋_GB2312" w:cs="仿宋_GB2312" w:hint="eastAsia"/>
                <w:sz w:val="32"/>
                <w:szCs w:val="32"/>
                <w:lang w:val="en-US" w:eastAsia="zh-CN"/>
              </w:rPr>
              <w:t xml:space="preserve">2021年湟中区教育局对公开的政务信息进行了分类规范，具体分为教育信息、教育动态、教育热点、高考动态、中考动态、学校动态、告示公告、温馨提醒、党史学习、文明创建、美文分享共11类。</w:t>
            </w:r>
          </w:p>
          <w:p>
            <w:pPr>
              <w:numPr>
                <w:ilvl w:val="0"/>
                <w:numId w:val="0"/>
              </w:numPr>
              <w:ind w:firstLine="643" w:firstLineChars="200"/>
              <w:jc w:val="both"/>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 xml:space="preserve">（四）政府信息公开平台建设。</w:t>
            </w:r>
            <w:r>
              <w:rPr>
                <w:rFonts w:ascii="仿宋_GB2312" w:eastAsia="仿宋_GB2312" w:hAnsi="仿宋_GB2312" w:cs="仿宋_GB2312" w:hint="eastAsia"/>
                <w:sz w:val="32"/>
                <w:szCs w:val="32"/>
                <w:lang w:val="en-US" w:eastAsia="zh-CN"/>
              </w:rPr>
              <w:t xml:space="preserve">2021年湟中区教育局信息公开平台主要为“湟中教育”微信公众号，本年度，我单位对公众平台信息发布内容进行了分类，对发布流程进行了进一步规范，严格实行信息发布三审制度，发布信息前需要编辑、办公室主任、主管领导审核签字，确保信息发布及时、准确、无误。</w:t>
            </w:r>
          </w:p>
          <w:p>
            <w:pPr>
              <w:numPr>
                <w:ilvl w:val="0"/>
                <w:numId w:val="0"/>
              </w:numPr>
              <w:ind w:firstLine="643" w:firstLineChars="200"/>
              <w:jc w:val="both"/>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bCs/>
                <w:sz w:val="32"/>
                <w:szCs w:val="32"/>
                <w:lang w:val="en-US" w:eastAsia="zh-CN"/>
              </w:rPr>
              <w:t xml:space="preserve">（五）监督保障。</w:t>
            </w:r>
            <w:r>
              <w:rPr>
                <w:rFonts w:ascii="仿宋_GB2312" w:eastAsia="仿宋_GB2312" w:hAnsi="仿宋_GB2312" w:cs="仿宋_GB2312" w:hint="eastAsia"/>
                <w:sz w:val="32"/>
                <w:szCs w:val="32"/>
                <w:lang w:val="en-US" w:eastAsia="zh-CN"/>
              </w:rPr>
              <w:t xml:space="preserve">湟中区教育局政务公开接受上级领导、教育系统内部全体工作人员、学生家长及社会关注湟中教育人员监督，畅通反馈渠道，对反馈意见进行及时整改，保障政务公开工作质量。</w:t>
            </w:r>
          </w:p>
          <w:p>
            <w:pPr>
              <w:widowControl/>
              <w:spacing w:after="240" w:line="432" w:lineRule="atLeast"/>
              <w:ind w:firstLine="480"/>
              <w:rPr>
                <w:rFonts w:ascii="黑体" w:eastAsia="黑体" w:hAnsi="黑体" w:cs="黑体" w:hint="eastAsia"/>
                <w:b w:val="0"/>
                <w:bCs w:val="0"/>
                <w:color w:val="333333"/>
                <w:kern w:val="0"/>
                <w:sz w:val="32"/>
                <w:szCs w:val="32"/>
              </w:rPr>
            </w:pPr>
            <w:r>
              <w:rPr>
                <w:rFonts w:ascii="黑体" w:eastAsia="黑体" w:hAnsi="黑体" w:cs="黑体" w:hint="eastAsia"/>
                <w:b w:val="0"/>
                <w:bCs w:val="0"/>
                <w:color w:val="333333"/>
                <w:kern w:val="0"/>
                <w:sz w:val="32"/>
                <w:szCs w:val="32"/>
              </w:rPr>
              <w:t xml:space="preserve">二、主动公开政府信息情况</w:t>
            </w:r>
          </w:p>
          <w:tbl>
            <w:tblPr>
              <w:tblStyle w:val="TableNormal"/>
              <w:tblW w:w="0" w:type="auto"/>
              <w:jc w:val="center"/>
              <w:tblLayout w:type="fixed"/>
              <w:tblCellMar>
                <w:top w:w="0" w:type="dxa"/>
                <w:left w:w="0" w:type="dxa"/>
                <w:bottom w:w="0" w:type="dxa"/>
                <w:right w:w="0" w:type="dxa"/>
              </w:tblCellMar>
              <w:tblLook w:val="0600" w:firstRow="0" w:lastRow="0" w:firstColumn="0" w:lastColumn="0" w:noHBand="1" w:noVBand="1"/>
            </w:tblPr>
            <w:tblGrid>
              <w:gridCol w:w="3041"/>
              <w:gridCol w:w="1845"/>
              <w:gridCol w:w="1666"/>
              <w:gridCol w:w="1679"/>
            </w:tblGrid>
            <w:tr>
              <w:trPr>
                <w:trHeight w:val="495"/>
                <w:jc w:val="center"/>
              </w:trPr>
              <w:tc>
                <w:tcPr>
                  <w:tcW w:w="8231" w:type="dxa"/>
                  <w:gridSpan w:val="4"/>
                  <w:tcBorders>
                    <w:top w:val="single" w:sz="8" w:space="0" w:color="auto"/>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第二十条第（一）项</w:t>
                  </w:r>
                </w:p>
              </w:tc>
            </w:tr>
            <w:tr>
              <w:tblPrEx>
                <w:tblW w:w="0" w:type="auto"/>
                <w:tblLayout w:type="fixed"/>
                <w:tblCellMar>
                  <w:top w:w="0" w:type="dxa"/>
                  <w:left w:w="0" w:type="dxa"/>
                  <w:bottom w:w="0" w:type="dxa"/>
                  <w:right w:w="0" w:type="dxa"/>
                </w:tblCellMar>
              </w:tblPrEx>
              <w:trPr>
                <w:trHeight w:val="882"/>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1845"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eastAsia="zh-CN"/>
                    </w:rPr>
                  </w:pPr>
                  <w:r>
                    <w:rPr>
                      <w:rFonts w:ascii="仿宋_GB2312" w:eastAsia="仿宋_GB2312" w:hAnsi="仿宋_GB2312" w:cs="仿宋_GB2312" w:hint="eastAsia"/>
                      <w:color w:val="000000"/>
                      <w:kern w:val="0"/>
                      <w:sz w:val="24"/>
                      <w:szCs w:val="24"/>
                    </w:rPr>
                    <w:t xml:space="preserve">本年</w:t>
                  </w:r>
                  <w:r>
                    <w:rPr>
                      <w:rFonts w:ascii="仿宋_GB2312" w:eastAsia="仿宋_GB2312" w:hAnsi="仿宋_GB2312" w:cs="仿宋_GB2312" w:hint="eastAsia"/>
                      <w:kern w:val="0"/>
                      <w:sz w:val="24"/>
                      <w:szCs w:val="24"/>
                    </w:rPr>
                    <w:t xml:space="preserve">制</w:t>
                  </w:r>
                  <w:r>
                    <w:rPr>
                      <w:rFonts w:ascii="仿宋_GB2312" w:eastAsia="仿宋_GB2312" w:hAnsi="仿宋_GB2312" w:cs="仿宋_GB2312" w:hint="eastAsia"/>
                      <w:kern w:val="0"/>
                      <w:sz w:val="24"/>
                      <w:szCs w:val="24"/>
                      <w:lang w:eastAsia="zh-CN"/>
                    </w:rPr>
                    <w:t xml:space="preserve">发件数</w:t>
                  </w:r>
                </w:p>
              </w:tc>
              <w:tc>
                <w:tcPr>
                  <w:tcW w:w="166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eastAsia="zh-CN"/>
                    </w:rPr>
                  </w:pPr>
                  <w:r>
                    <w:rPr>
                      <w:rFonts w:ascii="仿宋_GB2312" w:eastAsia="仿宋_GB2312" w:hAnsi="仿宋_GB2312" w:cs="仿宋_GB2312" w:hint="eastAsia"/>
                      <w:color w:val="000000"/>
                      <w:kern w:val="0"/>
                      <w:sz w:val="24"/>
                      <w:szCs w:val="24"/>
                    </w:rPr>
                    <w:t xml:space="preserve">本年</w:t>
                  </w:r>
                  <w:r>
                    <w:rPr>
                      <w:rFonts w:ascii="仿宋_GB2312" w:eastAsia="仿宋_GB2312" w:hAnsi="仿宋_GB2312" w:cs="仿宋_GB2312" w:hint="eastAsia"/>
                      <w:color w:val="000000"/>
                      <w:kern w:val="0"/>
                      <w:sz w:val="24"/>
                      <w:szCs w:val="24"/>
                      <w:lang w:eastAsia="zh-CN"/>
                    </w:rPr>
                    <w:t xml:space="preserve">废止件数</w:t>
                  </w:r>
                </w:p>
              </w:tc>
              <w:tc>
                <w:tcPr>
                  <w:tcW w:w="167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eastAsia="zh-CN"/>
                    </w:rPr>
                  </w:pPr>
                  <w:r>
                    <w:rPr>
                      <w:rFonts w:ascii="仿宋_GB2312" w:eastAsia="仿宋_GB2312" w:hAnsi="仿宋_GB2312" w:cs="仿宋_GB2312" w:hint="eastAsia"/>
                      <w:kern w:val="0"/>
                      <w:sz w:val="24"/>
                      <w:szCs w:val="24"/>
                      <w:lang w:eastAsia="zh-CN"/>
                    </w:rPr>
                    <w:t xml:space="preserve">现行有效件数</w:t>
                  </w:r>
                </w:p>
              </w:tc>
            </w:tr>
            <w:tr>
              <w:trPr>
                <w:trHeight w:val="523"/>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规章</w:t>
                  </w:r>
                </w:p>
              </w:tc>
              <w:tc>
                <w:tcPr>
                  <w:tcW w:w="184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6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7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471"/>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lang w:eastAsia="zh-CN"/>
                    </w:rPr>
                    <w:t xml:space="preserve">行政</w:t>
                  </w:r>
                  <w:r>
                    <w:rPr>
                      <w:rFonts w:ascii="仿宋_GB2312" w:eastAsia="仿宋_GB2312" w:hAnsi="仿宋_GB2312" w:cs="仿宋_GB2312" w:hint="eastAsia"/>
                      <w:color w:val="000000"/>
                      <w:kern w:val="0"/>
                      <w:sz w:val="24"/>
                      <w:szCs w:val="24"/>
                    </w:rPr>
                    <w:t xml:space="preserve">规范性文件</w:t>
                  </w:r>
                </w:p>
              </w:tc>
              <w:tc>
                <w:tcPr>
                  <w:tcW w:w="184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6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167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645"/>
                <w:jc w:val="center"/>
              </w:trPr>
              <w:tc>
                <w:tcPr>
                  <w:tcW w:w="8231" w:type="dxa"/>
                  <w:gridSpan w:val="4"/>
                  <w:tcBorders>
                    <w:top w:val="nil"/>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第二十条第（五）项</w:t>
                  </w:r>
                </w:p>
              </w:tc>
            </w:tr>
            <w:tr>
              <w:tblPrEx>
                <w:tblW w:w="0" w:type="auto"/>
                <w:tblLayout w:type="fixed"/>
                <w:tblCellMar>
                  <w:top w:w="0" w:type="dxa"/>
                  <w:left w:w="0" w:type="dxa"/>
                  <w:bottom w:w="0" w:type="dxa"/>
                  <w:right w:w="0" w:type="dxa"/>
                </w:tblCellMar>
              </w:tblPrEx>
              <w:trPr>
                <w:trHeight w:val="634"/>
                <w:jc w:val="center"/>
              </w:trPr>
              <w:tc>
                <w:tcPr>
                  <w:tcW w:w="3041"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5190" w:type="dxa"/>
                  <w:gridSpan w:val="3"/>
                  <w:tcBorders>
                    <w:top w:val="single" w:sz="8" w:space="0" w:color="auto"/>
                    <w:left w:val="single" w:sz="4"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lang w:eastAsia="zh-CN"/>
                    </w:rPr>
                    <w:t xml:space="preserve">本年</w:t>
                  </w:r>
                  <w:r>
                    <w:rPr>
                      <w:rFonts w:ascii="仿宋_GB2312" w:eastAsia="仿宋_GB2312" w:hAnsi="仿宋_GB2312" w:cs="仿宋_GB2312" w:hint="eastAsia"/>
                      <w:color w:val="000000"/>
                      <w:kern w:val="0"/>
                      <w:sz w:val="24"/>
                      <w:szCs w:val="24"/>
                    </w:rPr>
                    <w:t xml:space="preserve">处理决定数量</w:t>
                  </w:r>
                </w:p>
              </w:tc>
            </w:tr>
            <w:tr>
              <w:tblPrEx>
                <w:tblW w:w="0" w:type="auto"/>
                <w:tblLayout w:type="fixed"/>
                <w:tblCellMar>
                  <w:top w:w="0" w:type="dxa"/>
                  <w:left w:w="0" w:type="dxa"/>
                  <w:bottom w:w="0" w:type="dxa"/>
                  <w:right w:w="0" w:type="dxa"/>
                </w:tblCellMar>
              </w:tblPrEx>
              <w:trPr>
                <w:trHeight w:val="528"/>
                <w:jc w:val="center"/>
              </w:trPr>
              <w:tc>
                <w:tcPr>
                  <w:tcW w:w="3041" w:type="dxa"/>
                  <w:tcBorders>
                    <w:top w:val="single" w:sz="4" w:space="0" w:color="auto"/>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行政许可</w:t>
                  </w:r>
                </w:p>
              </w:tc>
              <w:tc>
                <w:tcPr>
                  <w:tcW w:w="5190" w:type="dxa"/>
                  <w:gridSpan w:val="3"/>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406"/>
                <w:jc w:val="center"/>
              </w:trPr>
              <w:tc>
                <w:tcPr>
                  <w:tcW w:w="8231" w:type="dxa"/>
                  <w:gridSpan w:val="4"/>
                  <w:tcBorders>
                    <w:top w:val="nil"/>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第二十条第（六）项</w:t>
                  </w:r>
                </w:p>
              </w:tc>
            </w:tr>
            <w:tr>
              <w:tblPrEx>
                <w:tblW w:w="0" w:type="auto"/>
                <w:tblLayout w:type="fixed"/>
                <w:tblCellMar>
                  <w:top w:w="0" w:type="dxa"/>
                  <w:left w:w="0" w:type="dxa"/>
                  <w:bottom w:w="0" w:type="dxa"/>
                  <w:right w:w="0" w:type="dxa"/>
                </w:tblCellMar>
              </w:tblPrEx>
              <w:trPr>
                <w:trHeight w:val="634"/>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5190" w:type="dxa"/>
                  <w:gridSpan w:val="3"/>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lang w:eastAsia="zh-CN"/>
                    </w:rPr>
                    <w:t xml:space="preserve">本年</w:t>
                  </w:r>
                  <w:r>
                    <w:rPr>
                      <w:rFonts w:ascii="仿宋_GB2312" w:eastAsia="仿宋_GB2312" w:hAnsi="仿宋_GB2312" w:cs="仿宋_GB2312" w:hint="eastAsia"/>
                      <w:color w:val="000000"/>
                      <w:kern w:val="0"/>
                      <w:sz w:val="24"/>
                      <w:szCs w:val="24"/>
                    </w:rPr>
                    <w:t xml:space="preserve">处理决定数量</w:t>
                  </w:r>
                </w:p>
              </w:tc>
            </w:tr>
            <w:tr>
              <w:tblPrEx>
                <w:tblW w:w="0" w:type="auto"/>
                <w:tblLayout w:type="fixed"/>
                <w:tblCellMar>
                  <w:top w:w="0" w:type="dxa"/>
                  <w:left w:w="0" w:type="dxa"/>
                  <w:bottom w:w="0" w:type="dxa"/>
                  <w:right w:w="0" w:type="dxa"/>
                </w:tblCellMar>
              </w:tblPrEx>
              <w:trPr>
                <w:trHeight w:val="505"/>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行政处罚</w:t>
                  </w:r>
                </w:p>
              </w:tc>
              <w:tc>
                <w:tcPr>
                  <w:tcW w:w="5190" w:type="dxa"/>
                  <w:gridSpan w:val="3"/>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559"/>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行政强制</w:t>
                  </w:r>
                </w:p>
              </w:tc>
              <w:tc>
                <w:tcPr>
                  <w:tcW w:w="5190" w:type="dxa"/>
                  <w:gridSpan w:val="3"/>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blPrEx>
                <w:tblW w:w="0" w:type="auto"/>
                <w:tblLayout w:type="fixed"/>
                <w:tblCellMar>
                  <w:top w:w="0" w:type="dxa"/>
                  <w:left w:w="0" w:type="dxa"/>
                  <w:bottom w:w="0" w:type="dxa"/>
                  <w:right w:w="0" w:type="dxa"/>
                </w:tblCellMar>
              </w:tblPrEx>
              <w:trPr>
                <w:trHeight w:val="474"/>
                <w:jc w:val="center"/>
              </w:trPr>
              <w:tc>
                <w:tcPr>
                  <w:tcW w:w="8231" w:type="dxa"/>
                  <w:gridSpan w:val="4"/>
                  <w:tcBorders>
                    <w:top w:val="nil"/>
                    <w:left w:val="single" w:sz="8" w:space="0" w:color="auto"/>
                    <w:bottom w:val="single" w:sz="8" w:space="0" w:color="auto"/>
                    <w:right w:val="single" w:sz="8" w:space="0" w:color="auto"/>
                  </w:tcBorders>
                  <w:shd w:val="clear" w:color="auto" w:fill="C6D9F1"/>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第二十条第（八）项</w:t>
                  </w:r>
                </w:p>
              </w:tc>
            </w:tr>
            <w:tr>
              <w:tblPrEx>
                <w:tblW w:w="0" w:type="auto"/>
                <w:tblLayout w:type="fixed"/>
                <w:tblCellMar>
                  <w:top w:w="0" w:type="dxa"/>
                  <w:left w:w="0" w:type="dxa"/>
                  <w:bottom w:w="0" w:type="dxa"/>
                  <w:right w:w="0" w:type="dxa"/>
                </w:tblCellMar>
              </w:tblPrEx>
              <w:trPr>
                <w:trHeight w:val="612"/>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信息内容</w:t>
                  </w:r>
                </w:p>
              </w:tc>
              <w:tc>
                <w:tcPr>
                  <w:tcW w:w="5190" w:type="dxa"/>
                  <w:gridSpan w:val="3"/>
                  <w:tcBorders>
                    <w:top w:val="nil"/>
                    <w:left w:val="nil"/>
                    <w:bottom w:val="single" w:sz="8" w:space="0" w:color="auto"/>
                    <w:right w:val="single" w:sz="8" w:space="0" w:color="000000"/>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eastAsia="zh-CN"/>
                    </w:rPr>
                  </w:pPr>
                  <w:r>
                    <w:rPr>
                      <w:rFonts w:ascii="仿宋_GB2312" w:eastAsia="仿宋_GB2312" w:hAnsi="仿宋_GB2312" w:cs="仿宋_GB2312" w:hint="eastAsia"/>
                      <w:kern w:val="0"/>
                      <w:sz w:val="24"/>
                      <w:szCs w:val="24"/>
                      <w:lang w:eastAsia="zh-CN"/>
                    </w:rPr>
                    <w:t xml:space="preserve">本年收费金额（单位：万元）</w:t>
                  </w:r>
                </w:p>
              </w:tc>
            </w:tr>
            <w:tr>
              <w:tblPrEx>
                <w:tblW w:w="0" w:type="auto"/>
                <w:tblLayout w:type="fixed"/>
                <w:tblCellMar>
                  <w:top w:w="0" w:type="dxa"/>
                  <w:left w:w="0" w:type="dxa"/>
                  <w:bottom w:w="0" w:type="dxa"/>
                  <w:right w:w="0" w:type="dxa"/>
                </w:tblCellMar>
              </w:tblPrEx>
              <w:trPr>
                <w:trHeight w:val="551"/>
                <w:jc w:val="center"/>
              </w:trPr>
              <w:tc>
                <w:tcPr>
                  <w:tcW w:w="3041"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行政事业性收费</w:t>
                  </w:r>
                </w:p>
              </w:tc>
              <w:tc>
                <w:tcPr>
                  <w:tcW w:w="5190" w:type="dxa"/>
                  <w:gridSpan w:val="3"/>
                  <w:tcBorders>
                    <w:top w:val="nil"/>
                    <w:left w:val="nil"/>
                    <w:bottom w:val="single" w:sz="8" w:space="0" w:color="auto"/>
                    <w:right w:val="single" w:sz="8" w:space="0" w:color="000000"/>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bl>
          <w:p>
            <w:pPr>
              <w:widowControl/>
              <w:spacing w:after="240" w:line="432" w:lineRule="atLeast"/>
              <w:rPr>
                <w:rFonts w:ascii="仿宋_GB2312" w:eastAsia="仿宋_GB2312" w:hAnsi="仿宋_GB2312" w:cs="仿宋_GB2312" w:hint="eastAsia"/>
                <w:b/>
                <w:bCs/>
                <w:color w:val="333333"/>
                <w:kern w:val="0"/>
                <w:sz w:val="24"/>
                <w:szCs w:val="24"/>
              </w:rPr>
            </w:pPr>
          </w:p>
          <w:p>
            <w:pPr>
              <w:widowControl/>
              <w:spacing w:after="240" w:line="432" w:lineRule="atLeast"/>
              <w:rPr>
                <w:rFonts w:ascii="黑体" w:eastAsia="黑体" w:hAnsi="黑体" w:cs="黑体" w:hint="eastAsia"/>
                <w:b w:val="0"/>
                <w:bCs w:val="0"/>
                <w:color w:val="333333"/>
                <w:kern w:val="0"/>
                <w:sz w:val="32"/>
                <w:szCs w:val="32"/>
              </w:rPr>
            </w:pPr>
            <w:r>
              <w:rPr>
                <w:rFonts w:ascii="黑体" w:eastAsia="黑体" w:hAnsi="黑体" w:cs="黑体" w:hint="eastAsia"/>
                <w:b w:val="0"/>
                <w:bCs w:val="0"/>
                <w:color w:val="333333"/>
                <w:kern w:val="0"/>
                <w:sz w:val="32"/>
                <w:szCs w:val="32"/>
              </w:rPr>
              <w:t xml:space="preserve">三、收到和处理政府信息公开申请情况</w:t>
            </w:r>
          </w:p>
          <w:tbl>
            <w:tblPr>
              <w:tblStyle w:val="TableNormal"/>
              <w:tblW w:w="0" w:type="auto"/>
              <w:jc w:val="center"/>
              <w:tblLayout w:type="fixed"/>
              <w:tblCellMar>
                <w:top w:w="0" w:type="dxa"/>
                <w:left w:w="0" w:type="dxa"/>
                <w:bottom w:w="0" w:type="dxa"/>
                <w:right w:w="0" w:type="dxa"/>
              </w:tblCellMar>
              <w:tblLook w:val="0600" w:firstRow="0" w:lastRow="0" w:firstColumn="0" w:lastColumn="0" w:noHBand="1" w:noVBand="1"/>
            </w:tblPr>
            <w:tblGrid>
              <w:gridCol w:w="616"/>
              <w:gridCol w:w="816"/>
              <w:gridCol w:w="1904"/>
              <w:gridCol w:w="636"/>
              <w:gridCol w:w="667"/>
              <w:gridCol w:w="667"/>
              <w:gridCol w:w="717"/>
              <w:gridCol w:w="855"/>
              <w:gridCol w:w="629"/>
              <w:gridCol w:w="616"/>
            </w:tblGrid>
            <w:tr>
              <w:trPr>
                <w:trHeight w:val="442"/>
                <w:jc w:val="center"/>
              </w:trPr>
              <w:tc>
                <w:tcPr>
                  <w:tcW w:w="3336" w:type="dxa"/>
                  <w:gridSpan w:val="3"/>
                  <w:vMerge w:val="restart"/>
                  <w:tcBorders>
                    <w:top w:val="single" w:sz="8" w:space="0" w:color="auto"/>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（本列数据的勾稽关系为：第一项加第二项之和，等于第三项加第四项之和）</w:t>
                  </w:r>
                </w:p>
              </w:tc>
              <w:tc>
                <w:tcPr>
                  <w:tcW w:w="4787" w:type="dxa"/>
                  <w:gridSpan w:val="7"/>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申请人情况</w:t>
                  </w:r>
                </w:p>
              </w:tc>
            </w:tr>
            <w:tr>
              <w:tblPrEx>
                <w:tblW w:w="0" w:type="auto"/>
                <w:tblLayout w:type="fixed"/>
                <w:tblCellMar>
                  <w:top w:w="0" w:type="dxa"/>
                  <w:left w:w="0" w:type="dxa"/>
                  <w:bottom w:w="0" w:type="dxa"/>
                  <w:right w:w="0" w:type="dxa"/>
                </w:tblCellMar>
              </w:tblPrEx>
              <w:trPr>
                <w:trHeight w:val="462"/>
                <w:jc w:val="center"/>
              </w:trPr>
              <w:tc>
                <w:tcPr>
                  <w:tcW w:w="3336" w:type="dxa"/>
                  <w:gridSpan w:val="3"/>
                  <w:vMerge/>
                  <w:tcBorders>
                    <w:top w:val="single" w:sz="8" w:space="0" w:color="auto"/>
                    <w:left w:val="single" w:sz="8"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63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自然人</w:t>
                  </w:r>
                </w:p>
              </w:tc>
              <w:tc>
                <w:tcPr>
                  <w:tcW w:w="3535"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法人或其他组织</w:t>
                  </w:r>
                </w:p>
              </w:tc>
              <w:tc>
                <w:tcPr>
                  <w:tcW w:w="616"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总计</w:t>
                  </w:r>
                </w:p>
              </w:tc>
            </w:tr>
            <w:tr>
              <w:tblPrEx>
                <w:tblW w:w="0" w:type="auto"/>
                <w:tblLayout w:type="fixed"/>
                <w:tblCellMar>
                  <w:top w:w="0" w:type="dxa"/>
                  <w:left w:w="0" w:type="dxa"/>
                  <w:bottom w:w="0" w:type="dxa"/>
                  <w:right w:w="0" w:type="dxa"/>
                </w:tblCellMar>
              </w:tblPrEx>
              <w:trPr>
                <w:trHeight w:val="90"/>
                <w:jc w:val="center"/>
              </w:trPr>
              <w:tc>
                <w:tcPr>
                  <w:tcW w:w="3336" w:type="dxa"/>
                  <w:gridSpan w:val="3"/>
                  <w:vMerge/>
                  <w:tcBorders>
                    <w:top w:val="single" w:sz="8" w:space="0" w:color="auto"/>
                    <w:left w:val="single" w:sz="8"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63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商业企业</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科研机构</w:t>
                  </w:r>
                </w:p>
              </w:tc>
              <w:tc>
                <w:tcPr>
                  <w:tcW w:w="717"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社会公益组织</w:t>
                  </w:r>
                </w:p>
              </w:tc>
              <w:tc>
                <w:tcPr>
                  <w:tcW w:w="855"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法律服务机构</w:t>
                  </w:r>
                </w:p>
              </w:tc>
              <w:tc>
                <w:tcPr>
                  <w:tcW w:w="629"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其他</w:t>
                  </w:r>
                </w:p>
              </w:tc>
              <w:tc>
                <w:tcPr>
                  <w:tcW w:w="616" w:type="dxa"/>
                  <w:vMerge/>
                  <w:tcBorders>
                    <w:top w:val="single" w:sz="8" w:space="0" w:color="auto"/>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r>
            <w:tr>
              <w:tblPrEx>
                <w:tblW w:w="0" w:type="auto"/>
                <w:tblLayout w:type="fixed"/>
                <w:tblCellMar>
                  <w:top w:w="0" w:type="dxa"/>
                  <w:left w:w="0" w:type="dxa"/>
                  <w:bottom w:w="0" w:type="dxa"/>
                  <w:right w:w="0" w:type="dxa"/>
                </w:tblCellMar>
              </w:tblPrEx>
              <w:trPr>
                <w:trHeight w:val="307"/>
                <w:jc w:val="center"/>
              </w:trPr>
              <w:tc>
                <w:tcPr>
                  <w:tcW w:w="3336"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一、本年新收政府信息公开申请数量</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297"/>
                <w:jc w:val="center"/>
              </w:trPr>
              <w:tc>
                <w:tcPr>
                  <w:tcW w:w="3336" w:type="dxa"/>
                  <w:gridSpan w:val="3"/>
                  <w:tcBorders>
                    <w:top w:val="nil"/>
                    <w:left w:val="single" w:sz="8" w:space="0" w:color="auto"/>
                    <w:bottom w:val="single" w:sz="4"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二、上年结转政府信息公开申请数量</w:t>
                  </w:r>
                </w:p>
              </w:tc>
              <w:tc>
                <w:tcPr>
                  <w:tcW w:w="636" w:type="dxa"/>
                  <w:tcBorders>
                    <w:top w:val="nil"/>
                    <w:left w:val="nil"/>
                    <w:bottom w:val="single" w:sz="4"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4"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4"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4"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4"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4"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4"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582"/>
                <w:jc w:val="center"/>
              </w:trPr>
              <w:tc>
                <w:tcPr>
                  <w:tcW w:w="616"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三、本年度办理结果</w:t>
                  </w:r>
                </w:p>
              </w:tc>
              <w:tc>
                <w:tcPr>
                  <w:tcW w:w="272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（一）予以公开</w:t>
                  </w:r>
                </w:p>
              </w:tc>
              <w:tc>
                <w:tcPr>
                  <w:tcW w:w="63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272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（二）部分公开（区分处理的，只计这一情形，不计其他情形）</w:t>
                  </w:r>
                </w:p>
              </w:tc>
              <w:tc>
                <w:tcPr>
                  <w:tcW w:w="63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477"/>
                <w:jc w:val="center"/>
              </w:trPr>
              <w:tc>
                <w:tcPr>
                  <w:tcW w:w="6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（三）不予公开</w:t>
                  </w:r>
                </w:p>
              </w:tc>
              <w:tc>
                <w:tcPr>
                  <w:tcW w:w="1904"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1.属于国家秘密</w:t>
                  </w:r>
                </w:p>
              </w:tc>
              <w:tc>
                <w:tcPr>
                  <w:tcW w:w="63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489"/>
                <w:jc w:val="center"/>
              </w:trPr>
              <w:tc>
                <w:tcPr>
                  <w:tcW w:w="6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2.其他法律行政法规禁止公开</w:t>
                  </w:r>
                </w:p>
              </w:tc>
              <w:tc>
                <w:tcPr>
                  <w:tcW w:w="63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3.危及“三安全一稳定”</w:t>
                  </w:r>
                </w:p>
              </w:tc>
              <w:tc>
                <w:tcPr>
                  <w:tcW w:w="63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4.保护第三方合法权益</w:t>
                  </w:r>
                </w:p>
              </w:tc>
              <w:tc>
                <w:tcPr>
                  <w:tcW w:w="63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single" w:sz="4" w:space="0" w:color="auto"/>
                    <w:left w:val="single" w:sz="4" w:space="0" w:color="auto"/>
                    <w:bottom w:val="single" w:sz="4" w:space="0" w:color="auto"/>
                    <w:right w:val="single" w:sz="4"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5.属于三类内部事务信息</w:t>
                  </w:r>
                </w:p>
              </w:tc>
              <w:tc>
                <w:tcPr>
                  <w:tcW w:w="63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single" w:sz="4" w:space="0" w:color="auto"/>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single" w:sz="4" w:space="0" w:color="auto"/>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6.属于四类过程性信息</w:t>
                  </w:r>
                </w:p>
              </w:tc>
              <w:tc>
                <w:tcPr>
                  <w:tcW w:w="636"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single" w:sz="4"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7.属于行政执法案卷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8.属于行政查询事项</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（四）无法提供</w:t>
                  </w: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1.本机关不掌握相关政府信息</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2.没有现成信息需要另行制作</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3.补正后申请内容仍不明确</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（五）不予处理</w:t>
                  </w: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1.信访举报投诉类申请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46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2.重复申请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3.要求提供公开出版物</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rPr>
                    <w:t xml:space="preserve">4.无正当理由大量反复申请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5.要求行政机关确认或重新出具已获取信息</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42"/>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（六）其他处理</w:t>
                  </w: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1.申请人无正当理由逾期不补正、行政机关不再处理其政府信息公开申请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1857"/>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2.申请人逾期未按收费通知要求缴纳费用，行政机关不再处理其政府信息公开申请</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477"/>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8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p>
              </w:tc>
              <w:tc>
                <w:tcPr>
                  <w:tcW w:w="190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3.其他</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507"/>
                <w:jc w:val="center"/>
              </w:trPr>
              <w:tc>
                <w:tcPr>
                  <w:tcW w:w="616" w:type="dxa"/>
                  <w:vMerge/>
                  <w:tcBorders>
                    <w:top w:val="nil"/>
                    <w:left w:val="single" w:sz="4"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2720" w:type="dxa"/>
                  <w:gridSpan w:val="2"/>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（七）总计</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r>
              <w:trPr>
                <w:trHeight w:val="487"/>
                <w:jc w:val="center"/>
              </w:trPr>
              <w:tc>
                <w:tcPr>
                  <w:tcW w:w="3336" w:type="dxa"/>
                  <w:gridSpan w:val="3"/>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四、结转下年度继续办理</w:t>
                  </w:r>
                </w:p>
              </w:tc>
              <w:tc>
                <w:tcPr>
                  <w:tcW w:w="63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6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7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85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2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6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bl>
          <w:p>
            <w:pPr>
              <w:widowControl/>
              <w:numPr>
                <w:ilvl w:val="0"/>
                <w:numId w:val="0"/>
              </w:numPr>
              <w:spacing w:line="432" w:lineRule="atLeast"/>
              <w:rPr>
                <w:rFonts w:ascii="仿宋_GB2312" w:eastAsia="仿宋_GB2312" w:hAnsi="仿宋_GB2312" w:cs="仿宋_GB2312" w:hint="eastAsia"/>
                <w:b/>
                <w:bCs/>
                <w:color w:val="333333"/>
                <w:kern w:val="0"/>
                <w:sz w:val="32"/>
                <w:szCs w:val="32"/>
                <w:lang w:eastAsia="zh-CN"/>
              </w:rPr>
            </w:pPr>
            <w:r>
              <w:rPr>
                <w:rFonts w:ascii="黑体" w:eastAsia="黑体" w:hAnsi="黑体" w:cs="黑体" w:hint="eastAsia"/>
                <w:b w:val="0"/>
                <w:bCs w:val="0"/>
                <w:color w:val="333333"/>
                <w:kern w:val="0"/>
                <w:sz w:val="32"/>
                <w:szCs w:val="32"/>
                <w:lang w:eastAsia="zh-CN"/>
              </w:rPr>
              <w:t xml:space="preserve">四、</w:t>
            </w:r>
            <w:r>
              <w:rPr>
                <w:rFonts w:ascii="黑体" w:eastAsia="黑体" w:hAnsi="黑体" w:cs="黑体" w:hint="eastAsia"/>
                <w:b w:val="0"/>
                <w:bCs w:val="0"/>
                <w:color w:val="333333"/>
                <w:kern w:val="0"/>
                <w:sz w:val="32"/>
                <w:szCs w:val="32"/>
              </w:rPr>
              <w:t xml:space="preserve">政府信息公开行政复议、行政诉讼情况</w:t>
            </w:r>
          </w:p>
          <w:tbl>
            <w:tblPr>
              <w:tblStyle w:val="TableNormal"/>
              <w:tblW w:w="0" w:type="auto"/>
              <w:jc w:val="center"/>
              <w:tblLayout w:type="fixed"/>
              <w:tblCellMar>
                <w:top w:w="0" w:type="dxa"/>
                <w:left w:w="0" w:type="dxa"/>
                <w:bottom w:w="0" w:type="dxa"/>
                <w:right w:w="0" w:type="dxa"/>
              </w:tblCellMar>
              <w:tblLook w:val="0600" w:firstRow="0" w:lastRow="0" w:firstColumn="0" w:lastColumn="0" w:noHBand="1" w:noVBand="1"/>
            </w:tblPr>
            <w:tblGrid>
              <w:gridCol w:w="515"/>
              <w:gridCol w:w="515"/>
              <w:gridCol w:w="515"/>
              <w:gridCol w:w="515"/>
              <w:gridCol w:w="564"/>
              <w:gridCol w:w="469"/>
              <w:gridCol w:w="516"/>
              <w:gridCol w:w="516"/>
              <w:gridCol w:w="516"/>
              <w:gridCol w:w="519"/>
              <w:gridCol w:w="516"/>
              <w:gridCol w:w="516"/>
              <w:gridCol w:w="516"/>
              <w:gridCol w:w="517"/>
              <w:gridCol w:w="518"/>
            </w:tblGrid>
            <w:tr>
              <w:trPr>
                <w:trHeight w:val="472"/>
                <w:jc w:val="center"/>
              </w:trPr>
              <w:tc>
                <w:tcPr>
                  <w:tcW w:w="2624" w:type="dxa"/>
                  <w:gridSpan w:val="5"/>
                  <w:tcBorders>
                    <w:top w:val="single" w:sz="8" w:space="0" w:color="auto"/>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行政复议</w:t>
                  </w:r>
                </w:p>
              </w:tc>
              <w:tc>
                <w:tcPr>
                  <w:tcW w:w="5119" w:type="dxa"/>
                  <w:gridSpan w:val="10"/>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行政诉讼</w:t>
                  </w:r>
                </w:p>
              </w:tc>
            </w:tr>
            <w:tr>
              <w:tblPrEx>
                <w:tblW w:w="0" w:type="auto"/>
                <w:tblLayout w:type="fixed"/>
                <w:tblCellMar>
                  <w:top w:w="0" w:type="dxa"/>
                  <w:left w:w="0" w:type="dxa"/>
                  <w:bottom w:w="0" w:type="dxa"/>
                  <w:right w:w="0" w:type="dxa"/>
                </w:tblCellMar>
              </w:tblPrEx>
              <w:trPr>
                <w:trHeight w:val="492"/>
                <w:jc w:val="center"/>
              </w:trPr>
              <w:tc>
                <w:tcPr>
                  <w:tcW w:w="515" w:type="dxa"/>
                  <w:vMerge w:val="restart"/>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结果维持</w:t>
                  </w:r>
                </w:p>
              </w:tc>
              <w:tc>
                <w:tcPr>
                  <w:tcW w:w="515" w:type="dxa"/>
                  <w:vMerge w:val="restart"/>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结果纠正</w:t>
                  </w:r>
                </w:p>
              </w:tc>
              <w:tc>
                <w:tcPr>
                  <w:tcW w:w="515"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其他结果</w:t>
                  </w:r>
                </w:p>
              </w:tc>
              <w:tc>
                <w:tcPr>
                  <w:tcW w:w="515"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尚未审结</w:t>
                  </w:r>
                </w:p>
              </w:tc>
              <w:tc>
                <w:tcPr>
                  <w:tcW w:w="564" w:type="dxa"/>
                  <w:vMerge w:val="restart"/>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总计</w:t>
                  </w:r>
                </w:p>
              </w:tc>
              <w:tc>
                <w:tcPr>
                  <w:tcW w:w="2536"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未经复议直接起诉</w:t>
                  </w:r>
                </w:p>
              </w:tc>
              <w:tc>
                <w:tcPr>
                  <w:tcW w:w="2583" w:type="dxa"/>
                  <w:gridSpan w:val="5"/>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复议后起诉</w:t>
                  </w:r>
                </w:p>
              </w:tc>
            </w:tr>
            <w:tr>
              <w:tblPrEx>
                <w:tblW w:w="0" w:type="auto"/>
                <w:tblLayout w:type="fixed"/>
                <w:tblCellMar>
                  <w:top w:w="0" w:type="dxa"/>
                  <w:left w:w="0" w:type="dxa"/>
                  <w:bottom w:w="0" w:type="dxa"/>
                  <w:right w:w="0" w:type="dxa"/>
                </w:tblCellMar>
              </w:tblPrEx>
              <w:trPr>
                <w:trHeight w:val="130"/>
                <w:jc w:val="center"/>
              </w:trPr>
              <w:tc>
                <w:tcPr>
                  <w:tcW w:w="515" w:type="dxa"/>
                  <w:vMerge/>
                  <w:tcBorders>
                    <w:top w:val="nil"/>
                    <w:left w:val="single" w:sz="8" w:space="0" w:color="auto"/>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515" w:type="dxa"/>
                  <w:vMerge/>
                  <w:tcBorders>
                    <w:top w:val="nil"/>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515" w:type="dxa"/>
                  <w:vMerge/>
                  <w:tcBorders>
                    <w:top w:val="single" w:sz="8" w:space="0" w:color="auto"/>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515" w:type="dxa"/>
                  <w:vMerge/>
                  <w:tcBorders>
                    <w:top w:val="single" w:sz="8" w:space="0" w:color="auto"/>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564" w:type="dxa"/>
                  <w:vMerge/>
                  <w:tcBorders>
                    <w:top w:val="single" w:sz="8" w:space="0" w:color="auto"/>
                    <w:left w:val="nil"/>
                    <w:bottom w:val="single" w:sz="8" w:space="0" w:color="auto"/>
                    <w:right w:val="single" w:sz="8" w:space="0" w:color="auto"/>
                  </w:tcBorders>
                  <w:noWrap w:val="0"/>
                  <w:vAlign w:val="center"/>
                </w:tcPr>
                <w:p>
                  <w:pPr>
                    <w:widowControl/>
                    <w:jc w:val="left"/>
                    <w:rPr>
                      <w:rFonts w:ascii="仿宋_GB2312" w:eastAsia="仿宋_GB2312" w:hAnsi="仿宋_GB2312" w:cs="仿宋_GB2312" w:hint="eastAsia"/>
                      <w:kern w:val="0"/>
                      <w:sz w:val="24"/>
                      <w:szCs w:val="24"/>
                    </w:rPr>
                  </w:pPr>
                </w:p>
              </w:tc>
              <w:tc>
                <w:tcPr>
                  <w:tcW w:w="46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结果维持</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结果纠正</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其他结果</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尚未审结</w:t>
                  </w:r>
                </w:p>
              </w:tc>
              <w:tc>
                <w:tcPr>
                  <w:tcW w:w="519"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总计</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结果维持</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结果纠正</w:t>
                  </w:r>
                </w:p>
              </w:tc>
              <w:tc>
                <w:tcPr>
                  <w:tcW w:w="516"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其他结果</w:t>
                  </w:r>
                </w:p>
              </w:tc>
              <w:tc>
                <w:tcPr>
                  <w:tcW w:w="517"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尚未审结</w:t>
                  </w:r>
                </w:p>
              </w:tc>
              <w:tc>
                <w:tcPr>
                  <w:tcW w:w="518" w:type="dxa"/>
                  <w:tcBorders>
                    <w:top w:val="single" w:sz="8" w:space="0" w:color="auto"/>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4"/>
                      <w:szCs w:val="24"/>
                    </w:rPr>
                    <w:t xml:space="preserve">总计</w:t>
                  </w:r>
                </w:p>
              </w:tc>
            </w:tr>
            <w:tr>
              <w:trPr>
                <w:trHeight w:val="617"/>
                <w:jc w:val="center"/>
              </w:trPr>
              <w:tc>
                <w:tcPr>
                  <w:tcW w:w="515" w:type="dxa"/>
                  <w:tcBorders>
                    <w:top w:val="nil"/>
                    <w:left w:val="single" w:sz="8" w:space="0" w:color="auto"/>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5"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64"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46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9"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6"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7"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center"/>
                    <w:rPr>
                      <w:rFonts w:ascii="仿宋_GB2312" w:eastAsia="仿宋_GB2312" w:hAnsi="仿宋_GB2312" w:cs="仿宋_GB2312" w:hint="eastAsia"/>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c>
                <w:tcPr>
                  <w:tcW w:w="518" w:type="dxa"/>
                  <w:tcBorders>
                    <w:top w:val="nil"/>
                    <w:left w:val="nil"/>
                    <w:bottom w:val="single" w:sz="8" w:space="0" w:color="auto"/>
                    <w:right w:val="single" w:sz="8" w:space="0" w:color="auto"/>
                  </w:tcBorders>
                  <w:noWrap w:val="0"/>
                  <w:tcMar>
                    <w:top w:w="0" w:type="dxa"/>
                    <w:left w:w="108" w:type="dxa"/>
                    <w:bottom w:w="0" w:type="dxa"/>
                    <w:right w:w="108" w:type="dxa"/>
                  </w:tcMar>
                  <w:vAlign w:val="center"/>
                </w:tcPr>
                <w:p>
                  <w:pPr>
                    <w:widowControl/>
                    <w:jc w:val="left"/>
                    <w:rPr>
                      <w:rFonts w:ascii="仿宋_GB2312" w:eastAsia="仿宋_GB2312" w:hAnsi="仿宋_GB2312" w:cs="仿宋_GB2312" w:hint="default"/>
                      <w:kern w:val="0"/>
                      <w:sz w:val="24"/>
                      <w:szCs w:val="24"/>
                      <w:lang w:val="en-US" w:eastAsia="zh-CN"/>
                    </w:rPr>
                  </w:pPr>
                  <w:r>
                    <w:rPr>
                      <w:rFonts w:ascii="仿宋_GB2312" w:eastAsia="仿宋_GB2312" w:hAnsi="仿宋_GB2312" w:cs="仿宋_GB2312" w:hint="eastAsia"/>
                      <w:kern w:val="0"/>
                      <w:sz w:val="24"/>
                      <w:szCs w:val="24"/>
                      <w:lang w:val="en-US" w:eastAsia="zh-CN"/>
                    </w:rPr>
                    <w:t xml:space="preserve">0</w:t>
                  </w:r>
                </w:p>
              </w:tc>
            </w:tr>
          </w:tbl>
          <w:p>
            <w:pPr>
              <w:widowControl/>
              <w:numPr>
                <w:ilvl w:val="0"/>
                <w:numId w:val="9"/>
              </w:numPr>
              <w:spacing w:line="432" w:lineRule="atLeast"/>
              <w:ind w:firstLine="480"/>
              <w:rPr>
                <w:rFonts w:ascii="黑体" w:eastAsia="黑体" w:hAnsi="黑体" w:cs="黑体" w:hint="eastAsia"/>
                <w:b w:val="0"/>
                <w:bCs w:val="0"/>
                <w:color w:val="333333"/>
                <w:kern w:val="0"/>
                <w:sz w:val="32"/>
                <w:szCs w:val="32"/>
              </w:rPr>
            </w:pPr>
            <w:r>
              <w:rPr>
                <w:rFonts w:ascii="黑体" w:eastAsia="黑体" w:hAnsi="黑体" w:cs="黑体" w:hint="eastAsia"/>
                <w:b w:val="0"/>
                <w:bCs w:val="0"/>
                <w:color w:val="333333"/>
                <w:kern w:val="0"/>
                <w:sz w:val="32"/>
                <w:szCs w:val="32"/>
              </w:rPr>
              <w:t xml:space="preserve">存在的主要问题及改进情况</w:t>
            </w:r>
          </w:p>
          <w:p>
            <w:pPr>
              <w:pStyle w:val="正文1"/>
              <w:bidi w:val="0"/>
              <w:rPr>
                <w:rFonts w:ascii="仿宋_GB2312" w:eastAsia="仿宋_GB2312" w:hAnsi="仿宋_GB2312" w:cs="仿宋_GB2312" w:hint="eastAsia"/>
                <w:b w:val="0"/>
                <w:bCs w:val="0"/>
                <w:color w:val="333333"/>
                <w:kern w:val="0"/>
                <w:sz w:val="32"/>
                <w:szCs w:val="32"/>
                <w:lang w:eastAsia="zh-CN"/>
              </w:rPr>
            </w:pPr>
            <w:r>
              <w:rPr>
                <w:rFonts w:ascii="仿宋_GB2312" w:eastAsia="仿宋_GB2312" w:hAnsi="仿宋_GB2312" w:cs="仿宋_GB2312" w:hint="eastAsia"/>
                <w:b w:val="0"/>
                <w:bCs w:val="0"/>
                <w:color w:val="333333"/>
                <w:kern w:val="0"/>
                <w:sz w:val="32"/>
                <w:szCs w:val="32"/>
                <w:lang w:eastAsia="zh-CN"/>
              </w:rPr>
              <w:t xml:space="preserve">存在的主要问题有：一是</w:t>
            </w:r>
            <w:r>
              <w:rPr>
                <w:rFonts w:ascii="仿宋_GB2312" w:hAnsi="仿宋_GB2312" w:cs="仿宋_GB2312" w:hint="eastAsia"/>
                <w:b w:val="0"/>
                <w:bCs w:val="0"/>
                <w:color w:val="333333"/>
                <w:kern w:val="0"/>
                <w:sz w:val="32"/>
                <w:szCs w:val="32"/>
                <w:lang w:val="en-US" w:eastAsia="zh-CN"/>
              </w:rPr>
              <w:t xml:space="preserve">政务公开渠道单一；</w:t>
            </w:r>
            <w:r>
              <w:rPr>
                <w:rFonts w:ascii="仿宋_GB2312" w:eastAsia="仿宋_GB2312" w:hAnsi="仿宋_GB2312" w:cs="仿宋_GB2312" w:hint="eastAsia"/>
                <w:b w:val="0"/>
                <w:bCs w:val="0"/>
                <w:color w:val="333333"/>
                <w:kern w:val="0"/>
                <w:sz w:val="32"/>
                <w:szCs w:val="32"/>
                <w:lang w:eastAsia="zh-CN"/>
              </w:rPr>
              <w:t xml:space="preserve">二</w:t>
            </w:r>
            <w:r>
              <w:rPr>
                <w:rFonts w:ascii="仿宋_GB2312" w:hAnsi="仿宋_GB2312" w:cs="仿宋_GB2312" w:hint="eastAsia"/>
                <w:b w:val="0"/>
                <w:bCs w:val="0"/>
                <w:color w:val="333333"/>
                <w:kern w:val="0"/>
                <w:sz w:val="32"/>
                <w:szCs w:val="32"/>
                <w:lang w:val="en-US" w:eastAsia="zh-CN"/>
              </w:rPr>
              <w:t xml:space="preserve">是政务公开信息没有全面掌握群众需求；三是机关内部信息公开流程有待进一步规范</w:t>
            </w:r>
            <w:r>
              <w:rPr>
                <w:rFonts w:ascii="仿宋_GB2312" w:eastAsia="仿宋_GB2312" w:hAnsi="仿宋_GB2312" w:cs="仿宋_GB2312" w:hint="eastAsia"/>
                <w:b w:val="0"/>
                <w:bCs w:val="0"/>
                <w:color w:val="333333"/>
                <w:kern w:val="0"/>
                <w:sz w:val="32"/>
                <w:szCs w:val="32"/>
                <w:lang w:eastAsia="zh-CN"/>
              </w:rPr>
              <w:t xml:space="preserve">。</w:t>
            </w:r>
          </w:p>
          <w:p>
            <w:pPr>
              <w:pStyle w:val="正文1"/>
              <w:bidi w:val="0"/>
              <w:rPr>
                <w:rFonts w:ascii="仿宋_GB2312" w:eastAsia="仿宋_GB2312" w:hAnsi="仿宋_GB2312" w:cs="仿宋_GB2312" w:hint="default"/>
                <w:b w:val="0"/>
                <w:bCs w:val="0"/>
                <w:color w:val="333333"/>
                <w:kern w:val="0"/>
                <w:sz w:val="32"/>
                <w:szCs w:val="32"/>
                <w:lang w:val="en-US" w:eastAsia="zh-CN"/>
              </w:rPr>
            </w:pPr>
            <w:r>
              <w:rPr>
                <w:rFonts w:ascii="仿宋_GB2312" w:eastAsia="仿宋_GB2312" w:hAnsi="仿宋_GB2312" w:cs="仿宋_GB2312" w:hint="eastAsia"/>
                <w:b w:val="0"/>
                <w:bCs w:val="0"/>
                <w:color w:val="333333"/>
                <w:kern w:val="0"/>
                <w:sz w:val="32"/>
                <w:szCs w:val="32"/>
                <w:lang w:eastAsia="zh-CN"/>
              </w:rPr>
              <w:t xml:space="preserve">针对以上存在的问题，我</w:t>
            </w:r>
            <w:r>
              <w:rPr>
                <w:rFonts w:ascii="仿宋_GB2312" w:hAnsi="仿宋_GB2312" w:cs="仿宋_GB2312" w:hint="eastAsia"/>
                <w:b w:val="0"/>
                <w:bCs w:val="0"/>
                <w:color w:val="333333"/>
                <w:kern w:val="0"/>
                <w:sz w:val="32"/>
                <w:szCs w:val="32"/>
                <w:lang w:val="en-US" w:eastAsia="zh-CN"/>
              </w:rPr>
              <w:t xml:space="preserve">单位</w:t>
            </w:r>
            <w:r>
              <w:rPr>
                <w:rFonts w:ascii="仿宋_GB2312" w:eastAsia="仿宋_GB2312" w:hAnsi="仿宋_GB2312" w:cs="仿宋_GB2312" w:hint="eastAsia"/>
                <w:b w:val="0"/>
                <w:bCs w:val="0"/>
                <w:color w:val="333333"/>
                <w:kern w:val="0"/>
                <w:sz w:val="32"/>
                <w:szCs w:val="32"/>
                <w:lang w:eastAsia="zh-CN"/>
              </w:rPr>
              <w:t xml:space="preserve">将采取以下措施</w:t>
            </w:r>
            <w:r>
              <w:rPr>
                <w:rFonts w:ascii="仿宋_GB2312" w:hAnsi="仿宋_GB2312" w:cs="仿宋_GB2312" w:hint="eastAsia"/>
                <w:b w:val="0"/>
                <w:bCs w:val="0"/>
                <w:color w:val="333333"/>
                <w:kern w:val="0"/>
                <w:sz w:val="32"/>
                <w:szCs w:val="32"/>
                <w:lang w:eastAsia="zh-CN"/>
              </w:rPr>
              <w:t xml:space="preserve">：</w:t>
            </w:r>
            <w:r>
              <w:rPr>
                <w:rFonts w:ascii="仿宋_GB2312" w:hAnsi="仿宋_GB2312" w:cs="仿宋_GB2312" w:hint="eastAsia"/>
                <w:b w:val="0"/>
                <w:bCs w:val="0"/>
                <w:color w:val="333333"/>
                <w:kern w:val="0"/>
                <w:sz w:val="32"/>
                <w:szCs w:val="32"/>
                <w:lang w:val="en-US" w:eastAsia="zh-CN"/>
              </w:rPr>
              <w:t xml:space="preserve">一是高度重视，拓宽公开渠道，多形式公开政务信息；二是主动了解掌握群众关心的相关教育信息并及时公开</w:t>
            </w:r>
            <w:r>
              <w:rPr>
                <w:rFonts w:ascii="仿宋_GB2312" w:hAnsi="仿宋_GB2312" w:cs="仿宋_GB2312" w:hint="eastAsia"/>
                <w:b w:val="0"/>
                <w:bCs w:val="0"/>
                <w:color w:val="333333"/>
                <w:kern w:val="0"/>
                <w:sz w:val="32"/>
                <w:szCs w:val="32"/>
                <w:lang w:eastAsia="zh-CN"/>
              </w:rPr>
              <w:t xml:space="preserve">；</w:t>
            </w:r>
            <w:r>
              <w:rPr>
                <w:rFonts w:ascii="仿宋_GB2312" w:hAnsi="仿宋_GB2312" w:cs="仿宋_GB2312" w:hint="eastAsia"/>
                <w:b w:val="0"/>
                <w:bCs w:val="0"/>
                <w:color w:val="333333"/>
                <w:kern w:val="0"/>
                <w:sz w:val="32"/>
                <w:szCs w:val="32"/>
                <w:lang w:val="en-US" w:eastAsia="zh-CN"/>
              </w:rPr>
              <w:t xml:space="preserve">三是规范信息公开流程，严格落实三审制度，</w:t>
            </w:r>
            <w:r>
              <w:rPr>
                <w:rFonts w:ascii="仿宋_GB2312" w:eastAsia="仿宋_GB2312" w:hAnsi="仿宋_GB2312" w:cs="仿宋_GB2312" w:hint="eastAsia"/>
                <w:b w:val="0"/>
                <w:bCs w:val="0"/>
                <w:color w:val="333333"/>
                <w:kern w:val="0"/>
                <w:sz w:val="32"/>
                <w:szCs w:val="32"/>
                <w:lang w:eastAsia="zh-CN"/>
              </w:rPr>
              <w:t xml:space="preserve">推动信息公开工作再上新台阶</w:t>
            </w:r>
            <w:r>
              <w:rPr>
                <w:rFonts w:ascii="仿宋_GB2312" w:hAnsi="仿宋_GB2312" w:cs="仿宋_GB2312" w:hint="eastAsia"/>
                <w:b w:val="0"/>
                <w:bCs w:val="0"/>
                <w:color w:val="333333"/>
                <w:kern w:val="0"/>
                <w:sz w:val="32"/>
                <w:szCs w:val="32"/>
                <w:lang w:eastAsia="zh-CN"/>
              </w:rPr>
              <w:t xml:space="preserve">。</w:t>
            </w:r>
          </w:p>
          <w:p>
            <w:pPr>
              <w:widowControl/>
              <w:spacing w:line="432" w:lineRule="atLeast"/>
              <w:ind w:firstLine="480"/>
              <w:rPr>
                <w:rFonts w:ascii="黑体" w:eastAsia="黑体" w:hAnsi="黑体" w:cs="黑体" w:hint="eastAsia"/>
                <w:b w:val="0"/>
                <w:bCs w:val="0"/>
                <w:color w:val="333333"/>
                <w:kern w:val="0"/>
                <w:sz w:val="32"/>
                <w:szCs w:val="32"/>
              </w:rPr>
            </w:pPr>
            <w:r>
              <w:rPr>
                <w:rFonts w:ascii="黑体" w:eastAsia="黑体" w:hAnsi="黑体" w:cs="黑体" w:hint="eastAsia"/>
                <w:b w:val="0"/>
                <w:bCs w:val="0"/>
                <w:color w:val="333333"/>
                <w:kern w:val="0"/>
                <w:sz w:val="32"/>
                <w:szCs w:val="32"/>
              </w:rPr>
              <w:t xml:space="preserve">六、其他需要报告的事项</w:t>
            </w:r>
          </w:p>
          <w:p>
            <w:pPr>
              <w:widowControl/>
              <w:spacing w:line="432" w:lineRule="atLeast"/>
              <w:ind w:firstLine="1049" w:firstLineChars="328"/>
              <w:rPr>
                <w:rFonts w:ascii="仿宋_GB2312" w:eastAsia="仿宋_GB2312" w:hAnsi="仿宋_GB2312" w:cs="仿宋_GB2312" w:hint="eastAsia"/>
                <w:b w:val="0"/>
                <w:bCs w:val="0"/>
                <w:color w:val="333333"/>
                <w:kern w:val="0"/>
                <w:sz w:val="32"/>
                <w:szCs w:val="32"/>
                <w:lang w:val="en-US" w:eastAsia="zh-CN"/>
              </w:rPr>
            </w:pPr>
            <w:r>
              <w:rPr>
                <w:rFonts w:ascii="仿宋_GB2312" w:eastAsia="仿宋_GB2312" w:hAnsi="仿宋_GB2312" w:cs="仿宋_GB2312" w:hint="eastAsia"/>
                <w:b w:val="0"/>
                <w:bCs w:val="0"/>
                <w:color w:val="333333"/>
                <w:kern w:val="0"/>
                <w:sz w:val="32"/>
                <w:szCs w:val="32"/>
                <w:lang w:val="en-US" w:eastAsia="zh-CN"/>
              </w:rPr>
              <w:t xml:space="preserve">无</w:t>
            </w:r>
          </w:p>
          <w:p>
            <w:pPr>
              <w:widowControl/>
              <w:spacing w:line="432" w:lineRule="atLeast"/>
              <w:ind w:firstLine="1049" w:firstLineChars="328"/>
              <w:rPr>
                <w:rFonts w:ascii="仿宋_GB2312" w:eastAsia="仿宋_GB2312" w:hAnsi="仿宋_GB2312" w:cs="仿宋_GB2312" w:hint="eastAsia"/>
                <w:b w:val="0"/>
                <w:bCs w:val="0"/>
                <w:color w:val="333333"/>
                <w:kern w:val="0"/>
                <w:sz w:val="32"/>
                <w:szCs w:val="32"/>
                <w:lang w:val="en-US" w:eastAsia="zh-CN"/>
              </w:rPr>
            </w:pPr>
          </w:p>
          <w:p>
            <w:pPr>
              <w:widowControl/>
              <w:spacing w:line="432" w:lineRule="atLeast"/>
              <w:ind w:firstLine="1049" w:firstLineChars="328"/>
              <w:rPr>
                <w:rFonts w:ascii="仿宋_GB2312" w:eastAsia="仿宋_GB2312" w:hAnsi="仿宋_GB2312" w:cs="仿宋_GB2312" w:hint="eastAsia"/>
                <w:b w:val="0"/>
                <w:bCs w:val="0"/>
                <w:color w:val="333333"/>
                <w:kern w:val="0"/>
                <w:sz w:val="32"/>
                <w:szCs w:val="32"/>
                <w:lang w:val="en-US" w:eastAsia="zh-CN"/>
              </w:rPr>
            </w:pPr>
          </w:p>
          <w:p>
            <w:pPr>
              <w:widowControl/>
              <w:spacing w:line="432" w:lineRule="atLeast"/>
              <w:ind w:firstLine="5203" w:firstLineChars="1626"/>
              <w:rPr>
                <w:rFonts w:ascii="仿宋_GB2312" w:eastAsia="仿宋_GB2312" w:hAnsi="仿宋_GB2312" w:cs="仿宋_GB2312" w:hint="eastAsia"/>
                <w:b w:val="0"/>
                <w:bCs w:val="0"/>
                <w:color w:val="333333"/>
                <w:kern w:val="0"/>
                <w:sz w:val="32"/>
                <w:szCs w:val="32"/>
                <w:lang w:val="en-US" w:eastAsia="zh-CN"/>
              </w:rPr>
            </w:pPr>
            <w:r>
              <w:rPr>
                <w:rFonts w:ascii="仿宋_GB2312" w:eastAsia="仿宋_GB2312" w:hAnsi="仿宋_GB2312" w:cs="仿宋_GB2312" w:hint="eastAsia"/>
                <w:b w:val="0"/>
                <w:bCs w:val="0"/>
                <w:color w:val="333333"/>
                <w:kern w:val="0"/>
                <w:sz w:val="32"/>
                <w:szCs w:val="32"/>
                <w:lang w:val="en-US" w:eastAsia="zh-CN"/>
              </w:rPr>
              <w:t xml:space="preserve">湟中区教育局</w:t>
            </w:r>
          </w:p>
          <w:p>
            <w:pPr>
              <w:widowControl/>
              <w:spacing w:line="432" w:lineRule="atLeast"/>
              <w:ind w:firstLine="4883" w:firstLineChars="1526"/>
              <w:rPr>
                <w:rFonts w:ascii="仿宋_GB2312" w:eastAsia="仿宋_GB2312" w:hAnsi="仿宋_GB2312" w:cs="仿宋_GB2312" w:hint="default"/>
                <w:b w:val="0"/>
                <w:bCs w:val="0"/>
                <w:color w:val="333333"/>
                <w:kern w:val="0"/>
                <w:sz w:val="32"/>
                <w:szCs w:val="32"/>
                <w:lang w:val="en-US" w:eastAsia="zh-CN"/>
              </w:rPr>
            </w:pPr>
            <w:r>
              <w:rPr>
                <w:rFonts w:ascii="仿宋_GB2312" w:eastAsia="仿宋_GB2312" w:hAnsi="仿宋_GB2312" w:cs="仿宋_GB2312" w:hint="eastAsia"/>
                <w:b w:val="0"/>
                <w:bCs w:val="0"/>
                <w:color w:val="333333"/>
                <w:kern w:val="0"/>
                <w:sz w:val="32"/>
                <w:szCs w:val="32"/>
                <w:lang w:val="en-US" w:eastAsia="zh-CN"/>
              </w:rPr>
              <w:t xml:space="preserve">2022年1月18日</w:t>
            </w:r>
          </w:p>
          <w:p>
            <w:pPr>
              <w:widowControl/>
              <w:spacing w:line="432" w:lineRule="atLeast"/>
              <w:ind w:firstLine="1049" w:firstLineChars="328"/>
              <w:rPr>
                <w:rFonts w:ascii="仿宋_GB2312" w:eastAsia="仿宋_GB2312" w:hAnsi="仿宋_GB2312" w:cs="仿宋_GB2312" w:hint="eastAsia"/>
                <w:b w:val="0"/>
                <w:bCs w:val="0"/>
                <w:color w:val="333333"/>
                <w:kern w:val="0"/>
                <w:sz w:val="32"/>
                <w:szCs w:val="32"/>
                <w:lang w:val="en-US" w:eastAsia="zh-CN"/>
              </w:rPr>
            </w:pPr>
          </w:p>
          <w:p>
            <w:pPr>
              <w:widowControl/>
              <w:spacing w:line="432" w:lineRule="atLeast"/>
              <w:ind w:firstLine="1049" w:firstLineChars="328"/>
              <w:rPr>
                <w:rFonts w:ascii="仿宋_GB2312" w:eastAsia="仿宋_GB2312" w:hAnsi="仿宋_GB2312" w:cs="仿宋_GB2312" w:hint="eastAsia"/>
                <w:b w:val="0"/>
                <w:bCs w:val="0"/>
                <w:color w:val="333333"/>
                <w:kern w:val="0"/>
                <w:sz w:val="32"/>
                <w:szCs w:val="32"/>
                <w:lang w:val="en-US" w:eastAsia="zh-CN"/>
              </w:rPr>
            </w:pPr>
            <w:bookmarkStart w:id="0" w:name="_GoBack"/>
            <w:bookmarkEnd w:id="0"/>
          </w:p>
          <w:p>
            <w:pPr>
              <w:widowControl/>
              <w:spacing w:line="432" w:lineRule="atLeast"/>
              <w:ind w:firstLine="1049" w:firstLineChars="328"/>
              <w:rPr>
                <w:rFonts w:ascii="仿宋_GB2312" w:eastAsia="仿宋_GB2312" w:hAnsi="仿宋_GB2312" w:cs="仿宋_GB2312" w:hint="eastAsia"/>
                <w:b w:val="0"/>
                <w:bCs w:val="0"/>
                <w:color w:val="333333"/>
                <w:kern w:val="0"/>
                <w:sz w:val="32"/>
                <w:szCs w:val="32"/>
                <w:lang w:val="en-US" w:eastAsia="zh-CN"/>
              </w:rPr>
            </w:pPr>
          </w:p>
          <w:p>
            <w:pPr>
              <w:widowControl/>
              <w:spacing w:line="432" w:lineRule="atLeast"/>
              <w:ind w:firstLine="1049" w:firstLineChars="328"/>
              <w:rPr>
                <w:rFonts w:ascii="仿宋_GB2312" w:eastAsia="仿宋_GB2312" w:hAnsi="仿宋_GB2312" w:cs="仿宋_GB2312" w:hint="eastAsia"/>
                <w:b w:val="0"/>
                <w:bCs w:val="0"/>
                <w:color w:val="333333"/>
                <w:kern w:val="0"/>
                <w:sz w:val="32"/>
                <w:szCs w:val="32"/>
                <w:lang w:val="en-US" w:eastAsia="zh-CN"/>
              </w:rPr>
            </w:pPr>
          </w:p>
        </w:tc>
      </w:tr>
    </w:tbl>
    <w:p>
      <w:pPr>
        <w:jc w:val="both"/>
        <w:rPr>
          <w:rFonts w:ascii="Times New Roman" w:eastAsia="仿宋_GB2312" w:hAnsi="Times New Roman" w:cs="Times New Roman" w:hint="default"/>
          <w:sz w:val="32"/>
          <w:szCs w:val="32"/>
          <w:lang w:val="en-US" w:eastAsia="zh-CN"/>
        </w:rPr>
      </w:pP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singleLevel"/>
    <w:lvl w:ilvl="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1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qFormat/>
    <w:rPr/>
    <w:tblPr>
      <w:tblCellMar>
        <w:top w:w="0" w:type="dxa"/>
        <w:left w:w="108" w:type="dxa"/>
        <w:bottom w:w="0" w:type="dxa"/>
        <w:right w:w="108" w:type="dxa"/>
      </w:tblCellMar>
    </w:tblPr>
  </w:style>
  <w:style w:type="paragraph" w:styleId="BodyText">
    <w:name w:val="Body Text"/>
    <w:uiPriority w:val="99"/>
    <w:unhideWhenUsed/>
    <w:qFormat/>
    <w:pPr>
      <w:widowControl w:val="0"/>
      <w:spacing w:after="120"/>
      <w:jc w:val="both"/>
    </w:pPr>
    <w:rPr>
      <w:rFonts w:ascii="Calibri" w:eastAsia="宋体" w:hAnsi="Calibri" w:cs="Times New Roman"/>
      <w:kern w:val="2"/>
      <w:sz w:val="21"/>
      <w:szCs w:val="24"/>
      <w:lang w:val="en-US" w:eastAsia="zh-CN" w:bidi="ar-SA"/>
    </w:rPr>
  </w:style>
  <w:style w:type="paragraph" w:customStyle="1" w:styleId="正文1">
    <w:name w:val="正文1"/>
    <w:basedOn w:val="Normal"/>
    <w:qFormat/>
    <w:pPr>
      <w:ind w:firstLine="880" w:firstLineChars="200"/>
    </w:pPr>
    <w:rPr>
      <w:rFonts w:ascii="Calibri" w:eastAsia="仿宋_GB2312" w:hAnsi="Calibri" w:asciiTheme="minorAscii" w:hAnsiTheme="minorAscii"/>
      <w:sz w:val="32"/>
      <w:szCs w:val="22"/>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E563DCEF58634645A37EF3CD67B31364</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E563DCEF58634645A37EF3CD67B31364</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E563DCEF58634645A37EF3CD67B31364</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E563DCEF58634645A37EF3CD67B31364</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0</Words>
  <Characters>0</Characters>
  <Application>WPS Office_11.1.0.11294_F1E327BC-269C-435d-A152-05C5408002CA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黄娟</cp:lastModifiedBy>
  <cp:revision>1</cp:revision>
  <cp:lastPrinted>2022-01-17T02:36:00Z</cp:lastPrinted>
  <dcterms:created xsi:type="dcterms:W3CDTF">2022-01-14T04:38:00Z</dcterms:created>
  <dcterms:modified xsi:type="dcterms:W3CDTF">2022-01-19T03:14:10Z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E563DCEF58634645A37EF3CD67B31364</vt:lpstr>
  </property>
</Properties>
</file>