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leftChars="0" w:rightChars="0"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 w:val="0"/>
          <w:color w:val="333333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 w:val="0"/>
          <w:bCs w:val="0"/>
          <w:color w:val="333333"/>
          <w:kern w:val="0"/>
          <w:sz w:val="44"/>
          <w:szCs w:val="44"/>
          <w:lang w:eastAsia="zh-CN"/>
        </w:rPr>
        <w:t xml:space="preserve">湟中区</w:t>
      </w:r>
      <w:r>
        <w:rPr>
          <w:rFonts w:ascii="Times New Roman" w:eastAsia="方正小标宋简体" w:hAnsi="Times New Roman" w:cs="Times New Roman" w:hint="eastAsia"/>
          <w:b w:val="0"/>
          <w:bCs w:val="0"/>
          <w:color w:val="333333"/>
          <w:kern w:val="0"/>
          <w:sz w:val="44"/>
          <w:szCs w:val="44"/>
          <w:lang w:val="en-US" w:eastAsia="zh-CN"/>
        </w:rPr>
        <w:t xml:space="preserve">新农村建设服务中心</w:t>
      </w:r>
      <w:r>
        <w:rPr>
          <w:rFonts w:ascii="Times New Roman" w:eastAsia="方正小标宋简体" w:hAnsi="Times New Roman" w:cs="Times New Roman" w:hint="default"/>
          <w:b w:val="0"/>
          <w:bCs w:val="0"/>
          <w:color w:val="333333"/>
          <w:kern w:val="0"/>
          <w:sz w:val="44"/>
          <w:szCs w:val="44"/>
        </w:rPr>
        <w:t xml:space="preserve">政府信息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leftChars="0" w:rightChars="0"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 w:val="0"/>
          <w:color w:val="333333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default"/>
          <w:b w:val="0"/>
          <w:bCs w:val="0"/>
          <w:color w:val="333333"/>
          <w:kern w:val="0"/>
          <w:sz w:val="44"/>
          <w:szCs w:val="44"/>
        </w:rPr>
        <w:t xml:space="preserve">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leftChars="0" w:rightChars="0"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 w:val="0"/>
          <w:color w:val="333333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rightChars="0" w:firstLineChars="200"/>
        <w:jc w:val="both"/>
        <w:textAlignment w:val="auto"/>
        <w:outlineLvl w:val="9"/>
        <w:rPr>
          <w:rFonts w:ascii="Times New Roman" w:eastAsia="黑体" w:hAnsi="Times New Roman" w:cs="Times New Roman" w:hint="default"/>
          <w:b w:val="0"/>
          <w:bCs w:val="0"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 w:hint="default"/>
          <w:b w:val="0"/>
          <w:bCs w:val="0"/>
          <w:color w:val="333333"/>
          <w:kern w:val="0"/>
          <w:sz w:val="32"/>
          <w:szCs w:val="32"/>
        </w:rPr>
        <w:t xml:space="preserve"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微软雅黑" w:eastAsia="微软雅黑" w:hAnsi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2021年，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区新农村建设服务中心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坚持以习近平新时代中国特色社会主义思想为指导，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立足新发展阶段、贯彻新发展理念、主动融入新发展格局，严格按照区委、区政府要求认真履行新农村建设职责，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始终把做好政府信息公开工作作为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全年重要工作来抓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不断加强组织领导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完善工作机制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深入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学习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贯彻《中华人民共和国政府信息公开条例》的有关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  <w:lang w:eastAsia="zh-CN"/>
        </w:rPr>
        <w:t xml:space="preserve">要求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紧密结合我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单位高原美丽乡村建设等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工作，不断规范政府信息公开内容，充分运用政府网站等形式，主动向社会公布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高原美丽乡村建设相关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政策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  <w:lang w:eastAsia="zh-CN"/>
        </w:rPr>
        <w:t xml:space="preserve">和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数据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切实保障人民群众的知情权，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认真办理依申请公开事项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积极做好政策解读和回应工作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切实推进了政府信息公开工作，增强了决策透明度和公众参与度，有力地促进了我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单位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各项业务工作的顺利开展。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16" w:leftChars="0" w:rightChars="0" w:firstLineChars="200"/>
        <w:jc w:val="both"/>
        <w:textAlignment w:val="auto"/>
        <w:outlineLvl w:val="9"/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pacing w:val="-6"/>
          <w:sz w:val="32"/>
          <w:szCs w:val="32"/>
          <w:lang w:val="en-US" w:eastAsia="zh-CN"/>
        </w:rPr>
        <w:t xml:space="preserve">加强领导，强化信息公开组织保障。我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单位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  <w:lang w:val="en-US" w:eastAsia="zh-CN"/>
        </w:rPr>
        <w:t xml:space="preserve">高度重视政府信息公开工作，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做到主要领导总体抓、分管领导具体抓，坚持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  <w:lang w:val="en-US" w:eastAsia="zh-CN"/>
        </w:rPr>
        <w:t xml:space="preserve">政务公开工作组织落实、人员落实、责任落实、监督落实。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根据我单位职责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  <w:lang w:val="en-US" w:eastAsia="zh-CN"/>
        </w:rPr>
        <w:t xml:space="preserve">进一步规范信息公开工作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，坚持做到应公开、尽公开。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16" w:leftChars="0" w:rightChars="0" w:firstLineChars="200"/>
        <w:jc w:val="both"/>
        <w:textAlignment w:val="auto"/>
        <w:outlineLvl w:val="9"/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明确职责，推进信息公开落地落实。我单位依据《中华人民共和国政府信息公开条例》对信息公开的范围、方式、程序等做出了明确规定。明确专职人员进行信息公开报送，完善保密审查等程序，坚持先审查后公开，完善配套制度，通过政府网站、公示栏等信息公开场所及时主动、平稳有序地推进信息公开工作，确保政务信息公开工作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16" w:leftChars="0" w:rightChars="0" w:firstLineChars="200"/>
        <w:jc w:val="both"/>
        <w:textAlignment w:val="auto"/>
        <w:outlineLvl w:val="9"/>
        <w:rPr>
          <w:rFonts w:hint="default"/>
          <w:lang w:val="en-US"/>
        </w:rPr>
      </w:pP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（三）完善制度，健全政务公开长效机制。把政务公开工作列入重要议事日程，坚持政务公开会议制度，定期对需公开事项进行梳理，及时总结经验，发现问题，及时整改，做到规范程序、主动公开、保证时效，并通过多种形式实现信息公开，保证信息公开及时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rightChars="0" w:firstLineChars="200"/>
        <w:jc w:val="both"/>
        <w:textAlignment w:val="auto"/>
        <w:outlineLvl w:val="9"/>
        <w:rPr>
          <w:rFonts w:ascii="Times New Roman" w:eastAsia="黑体" w:hAnsi="Times New Roman" w:cs="Times New Roman" w:hint="default"/>
          <w:b w:val="0"/>
          <w:bCs w:val="0"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 w:hint="default"/>
          <w:b w:val="0"/>
          <w:bCs w:val="0"/>
          <w:color w:val="333333"/>
          <w:kern w:val="0"/>
          <w:sz w:val="32"/>
          <w:szCs w:val="32"/>
        </w:rPr>
        <w:t xml:space="preserve">二、主动公开政府信息情况</w:t>
      </w:r>
    </w:p>
    <w:tbl>
      <w:tblPr>
        <w:tblStyle w:val="TableNormal"/>
        <w:tblW w:w="8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342"/>
        <w:gridCol w:w="1730"/>
        <w:gridCol w:w="1770"/>
        <w:gridCol w:w="1898"/>
      </w:tblGrid>
      <w:tr>
        <w:tblPrEx>
          <w:tblW w:w="87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第二十条第（一）项</w:t>
            </w:r>
          </w:p>
        </w:tc>
      </w:tr>
      <w:tr>
        <w:tblPrEx>
          <w:tblW w:w="87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  <w:jc w:val="center"/>
        </w:trPr>
        <w:tc>
          <w:tcPr>
            <w:tcW w:w="3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本年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eastAsia="zh-CN"/>
              </w:rPr>
              <w:t xml:space="preserve">发件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量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本年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废止件数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现行有效件数</w:t>
            </w:r>
          </w:p>
        </w:tc>
      </w:tr>
      <w:tr>
        <w:tblPrEx>
          <w:tblW w:w="87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  <w:jc w:val="center"/>
        </w:trPr>
        <w:tc>
          <w:tcPr>
            <w:tcW w:w="3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规章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7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3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规范性文件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7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  <w:jc w:val="center"/>
        </w:trPr>
        <w:tc>
          <w:tcPr>
            <w:tcW w:w="8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第二十条第（五）项</w:t>
            </w:r>
          </w:p>
        </w:tc>
      </w:tr>
      <w:tr>
        <w:tblPrEx>
          <w:tblW w:w="87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/>
          <w:jc w:val="center"/>
        </w:trPr>
        <w:tc>
          <w:tcPr>
            <w:tcW w:w="3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本年处理决定数</w:t>
            </w:r>
          </w:p>
        </w:tc>
      </w:tr>
      <w:tr>
        <w:tblPrEx>
          <w:tblW w:w="87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  <w:jc w:val="center"/>
        </w:trPr>
        <w:tc>
          <w:tcPr>
            <w:tcW w:w="3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行政许可</w:t>
            </w:r>
          </w:p>
        </w:tc>
        <w:tc>
          <w:tcPr>
            <w:tcW w:w="53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7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  <w:jc w:val="center"/>
        </w:trPr>
        <w:tc>
          <w:tcPr>
            <w:tcW w:w="8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第二十条第（六）项</w:t>
            </w:r>
          </w:p>
        </w:tc>
      </w:tr>
      <w:tr>
        <w:tblPrEx>
          <w:tblW w:w="87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/>
          <w:jc w:val="center"/>
        </w:trPr>
        <w:tc>
          <w:tcPr>
            <w:tcW w:w="3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3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本年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处理决定数量</w:t>
            </w:r>
          </w:p>
        </w:tc>
      </w:tr>
      <w:tr>
        <w:tblPrEx>
          <w:tblW w:w="87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  <w:jc w:val="center"/>
        </w:trPr>
        <w:tc>
          <w:tcPr>
            <w:tcW w:w="3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行政处罚</w:t>
            </w:r>
          </w:p>
        </w:tc>
        <w:tc>
          <w:tcPr>
            <w:tcW w:w="5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7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  <w:jc w:val="center"/>
        </w:trPr>
        <w:tc>
          <w:tcPr>
            <w:tcW w:w="3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行政强制</w:t>
            </w:r>
          </w:p>
        </w:tc>
        <w:tc>
          <w:tcPr>
            <w:tcW w:w="5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7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  <w:jc w:val="center"/>
        </w:trPr>
        <w:tc>
          <w:tcPr>
            <w:tcW w:w="8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第二十条第（八）项</w:t>
            </w:r>
          </w:p>
        </w:tc>
      </w:tr>
      <w:tr>
        <w:tblPrEx>
          <w:tblW w:w="87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3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信息内容</w:t>
            </w:r>
          </w:p>
        </w:tc>
        <w:tc>
          <w:tcPr>
            <w:tcW w:w="5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eastAsia="zh-CN"/>
              </w:rPr>
              <w:t xml:space="preserve">本年收费金额（单位：万元）</w:t>
            </w:r>
          </w:p>
        </w:tc>
      </w:tr>
      <w:tr>
        <w:tblPrEx>
          <w:tblW w:w="874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  <w:jc w:val="center"/>
        </w:trPr>
        <w:tc>
          <w:tcPr>
            <w:tcW w:w="3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行政事业性收费</w:t>
            </w:r>
          </w:p>
        </w:tc>
        <w:tc>
          <w:tcPr>
            <w:tcW w:w="53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widowControl/>
        <w:spacing w:line="432" w:lineRule="atLeast"/>
        <w:ind w:firstLine="640" w:firstLineChars="200"/>
        <w:rPr>
          <w:rFonts w:ascii="Times New Roman" w:eastAsia="黑体" w:hAnsi="Times New Roman" w:cs="Times New Roman" w:hint="default"/>
          <w:b w:val="0"/>
          <w:bCs w:val="0"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 w:hint="default"/>
          <w:b w:val="0"/>
          <w:bCs w:val="0"/>
          <w:color w:val="333333"/>
          <w:kern w:val="0"/>
          <w:sz w:val="32"/>
          <w:szCs w:val="32"/>
        </w:rPr>
        <w:t xml:space="preserve">三、收到和处理政府信息公开申请情况</w:t>
      </w:r>
    </w:p>
    <w:tbl>
      <w:tblPr>
        <w:tblStyle w:val="TableNormal"/>
        <w:tblW w:w="8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77"/>
        <w:gridCol w:w="896"/>
        <w:gridCol w:w="2134"/>
        <w:gridCol w:w="655"/>
        <w:gridCol w:w="730"/>
        <w:gridCol w:w="733"/>
        <w:gridCol w:w="786"/>
        <w:gridCol w:w="939"/>
        <w:gridCol w:w="690"/>
        <w:gridCol w:w="680"/>
      </w:tblGrid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  <w:jc w:val="center"/>
        </w:trPr>
        <w:tc>
          <w:tcPr>
            <w:tcW w:w="3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52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申请人情况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  <w:jc w:val="center"/>
        </w:trPr>
        <w:tc>
          <w:tcPr>
            <w:tcW w:w="37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自然人</w:t>
            </w:r>
          </w:p>
        </w:tc>
        <w:tc>
          <w:tcPr>
            <w:tcW w:w="387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法人或其他组织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总计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  <w:jc w:val="center"/>
        </w:trPr>
        <w:tc>
          <w:tcPr>
            <w:tcW w:w="37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65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商业企业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科研机构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社会公益组织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法律服务机构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其他</w:t>
            </w:r>
          </w:p>
        </w:tc>
        <w:tc>
          <w:tcPr>
            <w:tcW w:w="6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  <w:jc w:val="center"/>
        </w:trPr>
        <w:tc>
          <w:tcPr>
            <w:tcW w:w="37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一、本年新收政府信息公开申请数量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  <w:jc w:val="center"/>
        </w:trPr>
        <w:tc>
          <w:tcPr>
            <w:tcW w:w="37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二、上年结转政府信息公开申请数量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  <w:jc w:val="center"/>
        </w:trPr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三、本年度办理结果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（一）予以公开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（二）部分公开（区分处理的，只计这一情形，不计其他情形）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（三）不予公开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1.属于国家秘密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2.其他法律行政法规禁止公开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3.危及“三安全一稳定”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4.保护第三方合法权益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5.属于三类内部事务信息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6.属于四类过程性信息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7.属于行政执法案卷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8.属于行政查询事项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（四）无法提供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1.本机关不掌握相关政府信息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2.没有现成信息需要另行制作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3.补正后申请内容仍不明确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（五）不予处理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1.信访举报投诉类申请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2.重复申请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3.要求提供公开出版物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4.无正当理由大量反复申请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5.要求行政机关确认或重新出具已获取信息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（六）其他处理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1.申请人无正当理由逾期不补正、行政机关不再处理其政府信息公开申请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2.申请人逾期未按收费通知要求缴纳费用，行政机关不再处理其政府信息公开申请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3.其他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  <w:jc w:val="center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（七）总计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  <w:tr>
        <w:tblPrEx>
          <w:tblW w:w="892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/>
          <w:jc w:val="center"/>
        </w:trPr>
        <w:tc>
          <w:tcPr>
            <w:tcW w:w="37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四、结转下年度继续办理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widowControl/>
        <w:spacing w:line="432" w:lineRule="atLeast"/>
        <w:ind w:firstLine="640" w:firstLineChars="200"/>
        <w:rPr>
          <w:rFonts w:ascii="Times New Roman" w:eastAsia="黑体" w:hAnsi="Times New Roman" w:cs="Times New Roman" w:hint="default"/>
          <w:b w:val="0"/>
          <w:bCs w:val="0"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 w:hint="default"/>
          <w:b w:val="0"/>
          <w:bCs w:val="0"/>
          <w:color w:val="333333"/>
          <w:kern w:val="0"/>
          <w:sz w:val="32"/>
          <w:szCs w:val="32"/>
        </w:rPr>
        <w:t xml:space="preserve">四、政府信息公开行政复议、行政诉讼情况</w:t>
      </w:r>
    </w:p>
    <w:tbl>
      <w:tblPr>
        <w:tblStyle w:val="TableNormal"/>
        <w:tblW w:w="89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590"/>
        <w:gridCol w:w="588"/>
        <w:gridCol w:w="589"/>
        <w:gridCol w:w="642"/>
        <w:gridCol w:w="598"/>
        <w:gridCol w:w="599"/>
        <w:gridCol w:w="598"/>
        <w:gridCol w:w="598"/>
        <w:gridCol w:w="603"/>
        <w:gridCol w:w="600"/>
        <w:gridCol w:w="598"/>
        <w:gridCol w:w="598"/>
        <w:gridCol w:w="600"/>
        <w:gridCol w:w="591"/>
      </w:tblGrid>
      <w:tr>
        <w:tblPrEx>
          <w:tblW w:w="89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  <w:jc w:val="center"/>
        </w:trPr>
        <w:tc>
          <w:tcPr>
            <w:tcW w:w="2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行政复议</w:t>
            </w:r>
          </w:p>
        </w:tc>
        <w:tc>
          <w:tcPr>
            <w:tcW w:w="598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行政诉讼</w:t>
            </w:r>
          </w:p>
        </w:tc>
      </w:tr>
      <w:tr>
        <w:tblPrEx>
          <w:tblW w:w="89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/>
          <w:jc w:val="center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29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未经复议直接起诉</w:t>
            </w:r>
          </w:p>
        </w:tc>
        <w:tc>
          <w:tcPr>
            <w:tcW w:w="29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复议后起诉</w:t>
            </w:r>
          </w:p>
        </w:tc>
      </w:tr>
      <w:tr>
        <w:tblPrEx>
          <w:tblW w:w="89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/>
          <w:jc w:val="center"/>
        </w:trPr>
        <w:tc>
          <w:tcPr>
            <w:tcW w:w="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widowControl/>
              <w:jc w:val="left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结果维持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结果纠正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 xml:space="preserve">其他结果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  <w:t xml:space="preserve">尚未审结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kern w:val="0"/>
                <w:sz w:val="24"/>
                <w:szCs w:val="24"/>
              </w:rPr>
              <w:t xml:space="preserve">总计</w:t>
            </w:r>
          </w:p>
        </w:tc>
      </w:tr>
      <w:tr>
        <w:tblPrEx>
          <w:tblW w:w="898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  <w:jc w:val="center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eastAsia="仿宋_GB2312" w:hAnsi="Times New Roman" w:cs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en-US" w:eastAsia="zh-CN"/>
              </w:rPr>
              <w:t xml:space="preserve"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leftChars="0" w:rightChars="0"/>
        <w:jc w:val="both"/>
        <w:textAlignment w:val="auto"/>
        <w:outlineLvl w:val="9"/>
        <w:rPr>
          <w:rFonts w:ascii="Times New Roman" w:eastAsia="黑体" w:hAnsi="Times New Roman" w:cs="Times New Roman" w:hint="default"/>
          <w:b w:val="0"/>
          <w:bCs w:val="0"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 w:hint="default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</w:t>
      </w:r>
      <w:r>
        <w:rPr>
          <w:rFonts w:ascii="Times New Roman" w:eastAsia="黑体" w:hAnsi="Times New Roman" w:cs="Times New Roman" w:hint="default"/>
          <w:b w:val="0"/>
          <w:bCs w:val="0"/>
          <w:color w:val="333333"/>
          <w:kern w:val="0"/>
          <w:sz w:val="32"/>
          <w:szCs w:val="32"/>
        </w:rPr>
        <w:t xml:space="preserve"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16" w:leftChars="0" w:rightChars="0" w:firstLineChars="200"/>
        <w:jc w:val="both"/>
        <w:textAlignment w:val="auto"/>
        <w:outlineLvl w:val="9"/>
        <w:rPr>
          <w:rFonts w:ascii="Times New Roman" w:eastAsia="仿宋_GB2312" w:hAnsi="Times New Roman" w:cs="Times New Roman" w:hint="default"/>
          <w:spacing w:val="-6"/>
          <w:sz w:val="32"/>
          <w:szCs w:val="32"/>
        </w:rPr>
      </w:pPr>
      <w:r>
        <w:rPr>
          <w:rFonts w:ascii="Times New Roman" w:eastAsia="仿宋_GB2312" w:hAnsi="Times New Roman" w:cs="Times New Roman" w:hint="default"/>
          <w:spacing w:val="-6"/>
          <w:sz w:val="32"/>
          <w:szCs w:val="32"/>
          <w:lang w:val="en-US" w:eastAsia="zh-CN"/>
        </w:rPr>
        <w:t xml:space="preserve">202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1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年我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单位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政府信息公开工作虽然取得了一定成效，但也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  <w:lang w:eastAsia="zh-CN"/>
        </w:rPr>
        <w:t xml:space="preserve">存在着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政务公开手段落后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  <w:lang w:eastAsia="zh-CN"/>
        </w:rPr>
        <w:t xml:space="preserve">、主动公开更新不及时、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法律意识和业务能力仍需提高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  <w:lang w:eastAsia="zh-CN"/>
        </w:rPr>
        <w:t xml:space="preserve">、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内容有待进一步完善丰富、互动需要进一步增强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  <w:lang w:eastAsia="zh-CN"/>
        </w:rPr>
        <w:t xml:space="preserve">等问题。下一步，我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单位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 xml:space="preserve">将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进一步提高工作热情和工作效率，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 xml:space="preserve">真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抓实干，坚持不懈，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 xml:space="preserve">不断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加大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新农村建设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政府信息公开工作力度，有效保障人民群众对于政府信息的知情权和监督权。</w:t>
      </w:r>
      <w:r>
        <w:rPr>
          <w:rFonts w:ascii="Times New Roman" w:eastAsia="仿宋_GB2312" w:hAnsi="Times New Roman" w:cs="Times New Roman" w:hint="default"/>
          <w:b/>
          <w:bCs/>
          <w:spacing w:val="-6"/>
          <w:sz w:val="32"/>
          <w:szCs w:val="32"/>
        </w:rPr>
        <w:t xml:space="preserve">一是拓展信息公开渠道。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在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日常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工作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 xml:space="preserve">的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基础上，加大多媒体信息推广力度，加强与其他部门、新闻媒体、社区团体等合作互动，做好民众宣传、交流等工作。</w:t>
      </w:r>
      <w:r>
        <w:rPr>
          <w:rFonts w:ascii="Times New Roman" w:eastAsia="仿宋_GB2312" w:hAnsi="Times New Roman" w:cs="Times New Roman" w:hint="default"/>
          <w:b/>
          <w:bCs/>
          <w:spacing w:val="-6"/>
          <w:sz w:val="32"/>
          <w:szCs w:val="32"/>
        </w:rPr>
        <w:t xml:space="preserve">二是提高业务能力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  <w:lang w:eastAsia="zh-CN"/>
        </w:rPr>
        <w:t xml:space="preserve">素质</w:t>
      </w:r>
      <w:r>
        <w:rPr>
          <w:rFonts w:ascii="Times New Roman" w:eastAsia="仿宋_GB2312" w:hAnsi="Times New Roman" w:cs="Times New Roman" w:hint="default"/>
          <w:b/>
          <w:bCs/>
          <w:spacing w:val="-6"/>
          <w:sz w:val="32"/>
          <w:szCs w:val="32"/>
        </w:rPr>
        <w:t xml:space="preserve">。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加强业务知识学习，提升法律素养，加强和其他单位协作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全面提高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我单位职工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对政府信息公开工作的认识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和学习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，切实加强领导，强化工作机构职能，继续加大政府信息公开力度，确保工作常态化，保证公开信息的及时性和有效性。</w:t>
      </w:r>
      <w:r>
        <w:rPr>
          <w:rFonts w:ascii="Times New Roman" w:eastAsia="仿宋_GB2312" w:hAnsi="Times New Roman" w:cs="Times New Roman" w:hint="default"/>
          <w:b/>
          <w:bCs/>
          <w:spacing w:val="-6"/>
          <w:sz w:val="32"/>
          <w:szCs w:val="32"/>
        </w:rPr>
        <w:t xml:space="preserve">三是加强重点领域信息公开。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继续完善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和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保障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高原美丽乡村建设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重点领域信息公开制度、及时公开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需公开事项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，加强规范管理，方便群众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 xml:space="preserve">，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加强监督，切实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val="en-US" w:eastAsia="zh-CN"/>
        </w:rPr>
        <w:t xml:space="preserve">做好惠民利民事项</w:t>
      </w:r>
      <w:r>
        <w:rPr>
          <w:rFonts w:ascii="Times New Roman" w:eastAsia="仿宋_GB2312" w:hAnsi="Times New Roman" w:cs="Times New Roman" w:hint="default"/>
          <w:spacing w:val="-6"/>
          <w:sz w:val="32"/>
          <w:szCs w:val="32"/>
        </w:rPr>
        <w:t xml:space="preserve"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Times New Roman" w:eastAsia="黑体" w:hAnsi="Times New Roman" w:cs="Times New Roman" w:hint="default"/>
          <w:b w:val="0"/>
          <w:bCs w:val="0"/>
          <w:color w:val="333333"/>
          <w:kern w:val="0"/>
          <w:sz w:val="32"/>
          <w:szCs w:val="32"/>
        </w:rPr>
      </w:pPr>
      <w:r>
        <w:rPr>
          <w:rFonts w:ascii="Times New Roman" w:eastAsia="黑体" w:hAnsi="Times New Roman" w:cs="Times New Roman" w:hint="default"/>
          <w:b w:val="0"/>
          <w:bCs w:val="0"/>
          <w:color w:val="333333"/>
          <w:kern w:val="0"/>
          <w:sz w:val="32"/>
          <w:szCs w:val="32"/>
        </w:rPr>
        <w:t xml:space="preserve"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Times New Roman" w:eastAsia="仿宋_GB2312" w:hAnsi="Times New Roman" w:cs="Times New Roman" w:hint="default"/>
          <w:color w:val="333333"/>
          <w:kern w:val="0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color w:val="333333"/>
          <w:kern w:val="0"/>
          <w:sz w:val="32"/>
          <w:szCs w:val="32"/>
          <w:lang w:eastAsia="zh-CN"/>
        </w:rPr>
        <w:t xml:space="preserve">无其他需要报告的事项</w:t>
      </w:r>
    </w:p>
    <w:p>
      <w:pPr>
        <w:pStyle w:val="BodyTextIndent"/>
        <w:rPr>
          <w:rFonts w:ascii="Times New Roman" w:eastAsia="仿宋_GB2312" w:hAnsi="Times New Roman" w:cs="Times New Roman" w:hint="default"/>
          <w:color w:val="333333"/>
          <w:kern w:val="0"/>
          <w:sz w:val="32"/>
          <w:szCs w:val="32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BodyTextIndent"/>
        <w:ind w:firstLine="4312" w:firstLineChars="1400"/>
        <w:rPr>
          <w:rFonts w:ascii="Times New Roman" w:eastAsia="仿宋_GB2312" w:hAnsi="Times New Roman" w:cs="Times New Roman" w:hint="eastAsia"/>
          <w:spacing w:val="-6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eastAsia"/>
          <w:spacing w:val="-6"/>
          <w:kern w:val="2"/>
          <w:sz w:val="32"/>
          <w:szCs w:val="32"/>
          <w:lang w:val="en-US" w:eastAsia="zh-CN" w:bidi="ar-SA"/>
        </w:rPr>
        <w:t xml:space="preserve">湟中区新农村建设服务中心</w:t>
      </w:r>
    </w:p>
    <w:p>
      <w:pPr>
        <w:rPr>
          <w:rFonts w:ascii="Times New Roman" w:eastAsia="仿宋_GB2312" w:hAnsi="Times New Roman" w:cs="Times New Roman" w:hint="default"/>
          <w:spacing w:val="-6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Times New Roman" w:hint="eastAsia"/>
          <w:spacing w:val="-6"/>
          <w:kern w:val="2"/>
          <w:sz w:val="32"/>
          <w:szCs w:val="32"/>
          <w:lang w:val="en-US" w:eastAsia="zh-CN" w:bidi="ar-SA"/>
        </w:rPr>
        <w:t xml:space="preserve">                                     2022年1月18日</w:t>
      </w:r>
      <w:bookmarkStart w:id="0" w:name="_GoBack"/>
      <w:bookmarkEnd w:id="0"/>
    </w:p>
    <w:sectPr>
      <w:footerReference w:type="default" r:id="rId6"/>
      <w:pgSz w:w="11906" w:h="16838" w:orient="portrait"/>
      <w:pgMar w:top="2098" w:right="1474" w:bottom="1984" w:left="1587" w:header="851" w:footer="1587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0">
        <w:col w:w="8845"/>
      </w:cols>
      <w:rtlGutter w:val="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  <w:r>
      <w:rPr>
        <w:sz w:val="18"/>
      </w:rPr>
      <mc:AlternateContent xmlns:mc="http://schemas.openxmlformats.org/markup-compatibility/2006"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0" name="_x0000_s2653"/>
              <wp:cNvGraphicFramePr>
                <a:graphicFrameLocks xmlns:a="http://schemas.openxmlformats.org/drawingml/2006/main"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asciiTheme="majorEastAsia" w:eastAsiaTheme="majorEastAsia" w:hAnsiTheme="majorEastAsia" w:cs="Times New Roman" w:cstheme="majorEastAsia"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asciiTheme="majorEastAsia" w:eastAsiaTheme="majorEastAsia" w:hAnsiTheme="majorEastAsia" w:cs="Times New Roman" w:cstheme="majorEastAsia" w:hint="eastAsia"/>
                              <w:sz w:val="28"/>
                              <w:szCs w:val="28"/>
                              <w:lang w:eastAsia="zh-CN"/>
                            </w:rPr>
                            <w:t xml:space="preserve">—</w:t>
                          </w:r>
                          <w:r>
                            <w:rPr>
                              <w:rFonts w:ascii="宋体" w:eastAsia="宋体" w:hAnsi="宋体" w:asciiTheme="majorEastAsia" w:eastAsiaTheme="majorEastAsia" w:hAnsiTheme="majorEastAsia" w:cs="Times New Roman" w:cstheme="majorEastAsia"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asciiTheme="majorEastAsia" w:eastAsiaTheme="majorEastAsia" w:hAnsiTheme="majorEastAsia" w:cs="Times New Roman" w:cstheme="majorEastAsia"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asciiTheme="majorEastAsia" w:eastAsiaTheme="majorEastAsia" w:hAnsiTheme="majorEastAsia" w:cs="Times New Roman" w:cstheme="majorEastAsia"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asciiTheme="majorEastAsia" w:eastAsiaTheme="majorEastAsia" w:hAnsiTheme="majorEastAsia" w:cs="Times New Roman" w:cstheme="majorEastAsia"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asciiTheme="majorEastAsia" w:eastAsiaTheme="majorEastAsia" w:hAnsiTheme="majorEastAsia" w:cs="Times New Roman" w:cstheme="majorEastAsia" w:hint="eastAsia"/>
                              <w:sz w:val="28"/>
                              <w:szCs w:val="28"/>
                              <w:lang w:eastAsia="zh-CN"/>
                            </w:rPr>
                            <w:t xml:space="preserve">1</w:t>
                          </w:r>
                          <w:r>
                            <w:rPr>
                              <w:rFonts w:ascii="宋体" w:eastAsia="宋体" w:hAnsi="宋体" w:asciiTheme="majorEastAsia" w:eastAsiaTheme="majorEastAsia" w:hAnsiTheme="majorEastAsia" w:cs="Times New Roman" w:cstheme="majorEastAsia"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asciiTheme="majorEastAsia" w:eastAsiaTheme="majorEastAsia" w:hAnsiTheme="majorEastAsia" w:cs="Times New Roman" w:cstheme="majorEastAsia"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2653" o:spid="_x0000_s2654" type="#_x0000_t202" style="height:2in;margin-left:0;margin-top:0;mso-height-relative:page;mso-position-horizontal:outside;mso-position-horizontal-relative:margin;mso-width-relative:page;mso-wrap-distance-bottom:0;mso-wrap-distance-left:9pt;mso-wrap-distance-right:9pt;mso-wrap-distance-top:0;mso-wrap-style:none;position:absolute;v-text-anchor:top;width:2in;z-index:251659264" coordsize="21600,21600" filled="f" stroked="f" strokeweight="0.5pt">
              <w10:bordertop type="none" width="0"/>
              <w10:borderleft type="none" width="0"/>
              <w10:borderbottom type="none" width="0"/>
              <w10:borderright type="none" width="0"/>
              <v:textbox style="layout-flow:horizontal;mso-fit-shape-to-text:t" inset="0,0,0,0">
                <w:txbxContent>
                  <w:p>
                    <w:pPr>
                      <w:pStyle w:val="Footer"/>
                      <w:rPr>
                        <w:rFonts w:ascii="宋体" w:eastAsia="宋体" w:hAnsi="宋体" w:asciiTheme="majorEastAsia" w:eastAsiaTheme="majorEastAsia" w:hAnsiTheme="majorEastAsia" w:cs="Times New Roman" w:cstheme="majorEastAsia" w:hint="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eastAsia="宋体" w:hAnsi="宋体" w:asciiTheme="majorEastAsia" w:eastAsiaTheme="majorEastAsia" w:hAnsiTheme="majorEastAsia" w:cs="Times New Roman" w:cstheme="majorEastAsia" w:hint="eastAsia"/>
                        <w:sz w:val="28"/>
                        <w:szCs w:val="28"/>
                        <w:lang w:eastAsia="zh-CN"/>
                      </w:rPr>
                      <w:t xml:space="preserve">—</w:t>
                    </w:r>
                    <w:r>
                      <w:rPr>
                        <w:rFonts w:ascii="宋体" w:eastAsia="宋体" w:hAnsi="宋体" w:asciiTheme="majorEastAsia" w:eastAsiaTheme="majorEastAsia" w:hAnsiTheme="majorEastAsia" w:cs="Times New Roman" w:cstheme="majorEastAsia"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eastAsia="宋体" w:hAnsi="宋体" w:asciiTheme="majorEastAsia" w:eastAsiaTheme="majorEastAsia" w:hAnsiTheme="majorEastAsia" w:cs="Times New Roman" w:cstheme="majorEastAsia"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宋体" w:eastAsia="宋体" w:hAnsi="宋体" w:asciiTheme="majorEastAsia" w:eastAsiaTheme="majorEastAsia" w:hAnsiTheme="majorEastAsia" w:cs="Times New Roman" w:cstheme="majorEastAsia"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asciiTheme="majorEastAsia" w:eastAsiaTheme="majorEastAsia" w:hAnsiTheme="majorEastAsia" w:cs="Times New Roman" w:cstheme="majorEastAsia"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eastAsia="宋体" w:hAnsi="宋体" w:asciiTheme="majorEastAsia" w:eastAsiaTheme="majorEastAsia" w:hAnsiTheme="majorEastAsia" w:cs="Times New Roman" w:cstheme="majorEastAsia" w:hint="eastAsia"/>
                        <w:sz w:val="28"/>
                        <w:szCs w:val="28"/>
                        <w:lang w:eastAsia="zh-CN"/>
                      </w:rPr>
                      <w:t xml:space="preserve">1</w:t>
                    </w:r>
                    <w:r>
                      <w:rPr>
                        <w:rFonts w:ascii="宋体" w:eastAsia="宋体" w:hAnsi="宋体" w:asciiTheme="majorEastAsia" w:eastAsiaTheme="majorEastAsia" w:hAnsiTheme="majorEastAsia" w:cs="Times New Roman" w:cstheme="majorEastAsia"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ascii="宋体" w:eastAsia="宋体" w:hAnsi="宋体" w:asciiTheme="majorEastAsia" w:eastAsiaTheme="majorEastAsia" w:hAnsiTheme="majorEastAsia" w:cs="Times New Roman" w:cstheme="majorEastAsia"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singleLevel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10"/>
  <w:embedSystemFonts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nhideWhenUsed="0" w:qFormat="1"/>
    <w:lsdException w:name="Body Text Indent" w:semiHidden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qFormat/>
    <w:pPr>
      <w:shd w:val="clear" w:color="auto" w:fill="FFFFFF"/>
      <w:spacing w:line="430" w:lineRule="auto"/>
      <w:ind w:firstLine="20"/>
      <w:jc w:val="distribute"/>
    </w:pPr>
    <w:rPr>
      <w:rFonts w:ascii="宋体" w:hAnsi="宋体" w:cs="宋体"/>
      <w:sz w:val="28"/>
      <w:szCs w:val="28"/>
      <w:lang w:val="zh-CN"/>
    </w:rPr>
  </w:style>
  <w:style w:type="paragraph" w:styleId="BodyTextIndent">
    <w:name w:val="Body Text Indent"/>
    <w:basedOn w:val="Normal"/>
    <w:next w:val="Normal"/>
    <w:uiPriority w:val="99"/>
    <w:qFormat/>
    <w:pPr>
      <w:spacing w:after="120"/>
      <w:ind w:left="420" w:leftChars="200"/>
    </w:pPr>
    <w:rPr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DFA9559EB79F4D51B8328697658CA222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DFA9559EB79F4D51B8328697658CA222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DFA9559EB79F4D51B8328697658CA222</vt:lpstr>
  </proper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DFA9559EB79F4D51B8328697658CA222</vt:lpwstr>
  </property>
</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0</Words>
  <Characters>0</Characters>
  <Application>WPS Office_11.1.0.11294_F1E327BC-269C-435d-A152-05C5408002CA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黄娟</cp:lastModifiedBy>
  <cp:revision>1</cp:revision>
  <cp:lastPrinted>2022-01-13T03:41:00Z</cp:lastPrinted>
  <dcterms:created xsi:type="dcterms:W3CDTF">2021-02-02T07:31:00Z</dcterms:created>
  <dcterms:modified xsi:type="dcterms:W3CDTF">2022-01-19T02:27:05Z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2052-11.1.0.11294</vt:lpstr>
  </property>
  <property fmtid="{D5CDD505-2E9C-101B-9397-08002B2CF9AE}" pid="3" name="ICV">
    <vt:lpstr>DFA9559EB79F4D51B8328697658CA222</vt:lpstr>
  </property>
</Properties>
</file>