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7850769">
      <w:pPr>
        <w:spacing w:line="360" w:lineRule="auto"/>
        <w:jc w:val="center"/>
        <w:rPr>
          <w:rFonts w:hint="eastAsia" w:ascii="宋体" w:hAnsi="宋体" w:eastAsia="宋体"/>
          <w:b/>
          <w:bCs/>
          <w:sz w:val="24"/>
        </w:rPr>
      </w:pPr>
    </w:p>
    <w:p w14:paraId="757A41E0">
      <w:pPr>
        <w:spacing w:line="360" w:lineRule="auto"/>
        <w:jc w:val="center"/>
        <w:rPr>
          <w:rFonts w:hint="eastAsia" w:ascii="宋体" w:hAnsi="宋体" w:eastAsia="宋体"/>
          <w:b/>
          <w:bCs/>
          <w:sz w:val="24"/>
        </w:rPr>
      </w:pPr>
    </w:p>
    <w:p w14:paraId="6E3E1C71">
      <w:pPr>
        <w:spacing w:line="360" w:lineRule="auto"/>
        <w:jc w:val="center"/>
        <w:rPr>
          <w:rFonts w:hint="eastAsia" w:ascii="宋体" w:hAnsi="宋体" w:eastAsia="宋体"/>
          <w:b/>
          <w:bCs/>
          <w:sz w:val="24"/>
        </w:rPr>
      </w:pPr>
    </w:p>
    <w:p w14:paraId="5FD614CF">
      <w:pPr>
        <w:spacing w:line="360" w:lineRule="auto"/>
        <w:jc w:val="center"/>
        <w:rPr>
          <w:rFonts w:hint="eastAsia" w:ascii="宋体" w:hAnsi="宋体" w:eastAsia="宋体"/>
          <w:b/>
          <w:bCs/>
          <w:sz w:val="24"/>
        </w:rPr>
      </w:pPr>
    </w:p>
    <w:p w14:paraId="32E9297C">
      <w:pPr>
        <w:spacing w:line="360" w:lineRule="auto"/>
        <w:jc w:val="center"/>
        <w:rPr>
          <w:rFonts w:hint="eastAsia" w:ascii="宋体" w:hAnsi="宋体" w:eastAsia="宋体"/>
          <w:b/>
          <w:bCs/>
          <w:sz w:val="24"/>
        </w:rPr>
      </w:pPr>
    </w:p>
    <w:p w14:paraId="35E93D2F">
      <w:pPr>
        <w:spacing w:line="360" w:lineRule="auto"/>
        <w:jc w:val="center"/>
        <w:rPr>
          <w:rFonts w:hint="eastAsia" w:ascii="宋体" w:hAnsi="宋体" w:eastAsia="宋体"/>
          <w:b/>
          <w:bCs/>
          <w:sz w:val="24"/>
        </w:rPr>
      </w:pPr>
    </w:p>
    <w:p w14:paraId="4FDD0452">
      <w:pPr>
        <w:spacing w:line="360" w:lineRule="auto"/>
        <w:jc w:val="center"/>
        <w:rPr>
          <w:rFonts w:hint="eastAsia" w:ascii="宋体" w:hAnsi="宋体" w:eastAsia="宋体"/>
          <w:b/>
          <w:bCs/>
          <w:sz w:val="24"/>
        </w:rPr>
      </w:pPr>
    </w:p>
    <w:p w14:paraId="6CFBAC3B">
      <w:pPr>
        <w:spacing w:line="360" w:lineRule="auto"/>
        <w:jc w:val="center"/>
        <w:rPr>
          <w:rFonts w:hint="eastAsia" w:ascii="宋体" w:hAnsi="宋体" w:eastAsia="宋体"/>
          <w:b/>
          <w:bCs/>
          <w:sz w:val="44"/>
          <w:szCs w:val="44"/>
        </w:rPr>
      </w:pPr>
      <w:r>
        <w:rPr>
          <w:rFonts w:hint="eastAsia" w:ascii="宋体" w:hAnsi="宋体" w:eastAsia="宋体"/>
          <w:b/>
          <w:bCs/>
          <w:sz w:val="44"/>
          <w:szCs w:val="44"/>
        </w:rPr>
        <w:t>西宁市湟中区农村人畜饮水净化配套工程建设项目</w:t>
      </w:r>
    </w:p>
    <w:p w14:paraId="0E0B4999">
      <w:pPr>
        <w:spacing w:line="360" w:lineRule="auto"/>
        <w:jc w:val="center"/>
        <w:rPr>
          <w:rFonts w:hint="eastAsia" w:ascii="宋体" w:hAnsi="宋体" w:eastAsia="宋体"/>
          <w:b/>
          <w:bCs/>
          <w:sz w:val="24"/>
        </w:rPr>
      </w:pPr>
    </w:p>
    <w:p w14:paraId="6213374A">
      <w:pPr>
        <w:spacing w:line="360" w:lineRule="auto"/>
        <w:jc w:val="center"/>
        <w:rPr>
          <w:rFonts w:hint="eastAsia" w:ascii="宋体" w:hAnsi="宋体" w:eastAsia="宋体"/>
          <w:b/>
          <w:bCs/>
          <w:sz w:val="24"/>
        </w:rPr>
      </w:pPr>
    </w:p>
    <w:p w14:paraId="163D0161">
      <w:pPr>
        <w:spacing w:line="360" w:lineRule="auto"/>
        <w:jc w:val="center"/>
        <w:rPr>
          <w:rFonts w:hint="eastAsia" w:ascii="宋体" w:hAnsi="宋体" w:eastAsia="宋体"/>
          <w:b/>
          <w:bCs/>
          <w:sz w:val="24"/>
        </w:rPr>
      </w:pPr>
    </w:p>
    <w:p w14:paraId="3D6AA481">
      <w:pPr>
        <w:spacing w:line="360" w:lineRule="auto"/>
        <w:jc w:val="center"/>
        <w:rPr>
          <w:rFonts w:hint="eastAsia" w:ascii="宋体" w:hAnsi="宋体" w:eastAsia="宋体"/>
          <w:b/>
          <w:bCs/>
          <w:sz w:val="24"/>
        </w:rPr>
      </w:pPr>
    </w:p>
    <w:p w14:paraId="3F35C088">
      <w:pPr>
        <w:spacing w:line="360" w:lineRule="auto"/>
        <w:jc w:val="center"/>
        <w:rPr>
          <w:rFonts w:hint="eastAsia" w:ascii="宋体" w:hAnsi="宋体" w:eastAsia="宋体"/>
          <w:b/>
          <w:bCs/>
          <w:sz w:val="24"/>
        </w:rPr>
      </w:pPr>
    </w:p>
    <w:p w14:paraId="0C27E8D1">
      <w:pPr>
        <w:spacing w:line="360" w:lineRule="auto"/>
        <w:jc w:val="center"/>
        <w:rPr>
          <w:rFonts w:hint="eastAsia" w:ascii="宋体" w:hAnsi="宋体" w:eastAsia="宋体"/>
          <w:b/>
          <w:bCs/>
          <w:sz w:val="44"/>
          <w:szCs w:val="44"/>
        </w:rPr>
      </w:pPr>
      <w:r>
        <w:rPr>
          <w:rFonts w:hint="eastAsia" w:ascii="宋体" w:hAnsi="宋体" w:eastAsia="宋体"/>
          <w:b/>
          <w:bCs/>
          <w:sz w:val="44"/>
          <w:szCs w:val="44"/>
        </w:rPr>
        <w:t>实施方案</w:t>
      </w:r>
    </w:p>
    <w:p w14:paraId="721B515F">
      <w:pPr>
        <w:spacing w:line="360" w:lineRule="auto"/>
        <w:jc w:val="center"/>
        <w:rPr>
          <w:rFonts w:hint="eastAsia" w:ascii="宋体" w:hAnsi="宋体" w:eastAsia="宋体"/>
          <w:b/>
          <w:bCs/>
          <w:sz w:val="24"/>
        </w:rPr>
      </w:pPr>
    </w:p>
    <w:p w14:paraId="1D0D933D">
      <w:pPr>
        <w:spacing w:line="360" w:lineRule="auto"/>
        <w:jc w:val="center"/>
        <w:rPr>
          <w:rFonts w:hint="eastAsia" w:ascii="宋体" w:hAnsi="宋体" w:eastAsia="宋体"/>
          <w:b/>
          <w:bCs/>
          <w:sz w:val="24"/>
        </w:rPr>
      </w:pPr>
    </w:p>
    <w:p w14:paraId="2CD64A07">
      <w:pPr>
        <w:spacing w:line="360" w:lineRule="auto"/>
        <w:jc w:val="center"/>
        <w:rPr>
          <w:rFonts w:hint="eastAsia" w:ascii="宋体" w:hAnsi="宋体" w:eastAsia="宋体"/>
          <w:b/>
          <w:bCs/>
          <w:sz w:val="24"/>
        </w:rPr>
      </w:pPr>
    </w:p>
    <w:p w14:paraId="33E2B13B">
      <w:pPr>
        <w:spacing w:line="360" w:lineRule="auto"/>
        <w:jc w:val="center"/>
        <w:rPr>
          <w:rFonts w:hint="eastAsia" w:ascii="宋体" w:hAnsi="宋体" w:eastAsia="宋体"/>
          <w:b/>
          <w:bCs/>
          <w:sz w:val="24"/>
        </w:rPr>
      </w:pPr>
    </w:p>
    <w:p w14:paraId="1AB5F13D">
      <w:pPr>
        <w:spacing w:line="360" w:lineRule="auto"/>
        <w:jc w:val="center"/>
        <w:rPr>
          <w:rFonts w:hint="eastAsia" w:ascii="宋体" w:hAnsi="宋体" w:eastAsia="宋体"/>
          <w:b/>
          <w:bCs/>
          <w:sz w:val="24"/>
        </w:rPr>
      </w:pPr>
    </w:p>
    <w:p w14:paraId="50F46B9B">
      <w:pPr>
        <w:spacing w:line="360" w:lineRule="auto"/>
        <w:jc w:val="center"/>
        <w:rPr>
          <w:rFonts w:hint="eastAsia" w:ascii="宋体" w:hAnsi="宋体" w:eastAsia="宋体"/>
          <w:b/>
          <w:bCs/>
          <w:sz w:val="24"/>
        </w:rPr>
      </w:pPr>
      <w:r>
        <w:rPr>
          <w:rFonts w:hint="eastAsia" w:ascii="宋体" w:hAnsi="宋体" w:eastAsia="宋体"/>
          <w:b/>
          <w:bCs/>
          <w:sz w:val="24"/>
        </w:rPr>
        <w:t>北京易柯森特科技有限公司</w:t>
      </w:r>
    </w:p>
    <w:p w14:paraId="4BD0E6DC">
      <w:pPr>
        <w:spacing w:line="360" w:lineRule="auto"/>
        <w:jc w:val="center"/>
        <w:rPr>
          <w:rFonts w:hint="eastAsia" w:ascii="宋体" w:hAnsi="宋体" w:eastAsia="宋体"/>
          <w:b/>
          <w:bCs/>
          <w:sz w:val="24"/>
        </w:rPr>
      </w:pPr>
      <w:r>
        <w:rPr>
          <w:rFonts w:hint="eastAsia" w:ascii="宋体" w:hAnsi="宋体" w:eastAsia="宋体"/>
          <w:b/>
          <w:bCs/>
          <w:sz w:val="24"/>
        </w:rPr>
        <w:t>二〇二四</w:t>
      </w:r>
      <w:r>
        <w:rPr>
          <w:rFonts w:ascii="宋体" w:hAnsi="宋体" w:eastAsia="宋体"/>
          <w:b/>
          <w:bCs/>
          <w:sz w:val="24"/>
        </w:rPr>
        <w:t>年</w:t>
      </w:r>
      <w:r>
        <w:rPr>
          <w:rFonts w:hint="eastAsia" w:ascii="宋体" w:hAnsi="宋体" w:eastAsia="宋体"/>
          <w:b/>
          <w:bCs/>
          <w:sz w:val="24"/>
        </w:rPr>
        <w:t>七月</w:t>
      </w:r>
    </w:p>
    <w:p w14:paraId="572CFD8B">
      <w:pPr>
        <w:spacing w:line="520" w:lineRule="exact"/>
        <w:jc w:val="left"/>
        <w:rPr>
          <w:rFonts w:hint="eastAsia" w:ascii="仿宋" w:hAnsi="仿宋" w:cs="仿宋"/>
          <w:b/>
        </w:rPr>
        <w:sectPr>
          <w:pgSz w:w="11906" w:h="16838"/>
          <w:pgMar w:top="1440" w:right="1800" w:bottom="1440" w:left="1800" w:header="850" w:footer="992" w:gutter="0"/>
          <w:pgNumType w:fmt="upperRoman" w:start="1"/>
          <w:cols w:space="720" w:num="1"/>
          <w:docGrid w:type="lines" w:linePitch="381" w:charSpace="0"/>
        </w:sectPr>
      </w:pPr>
    </w:p>
    <w:p w14:paraId="22A4ADA5">
      <w:pPr>
        <w:spacing w:line="520" w:lineRule="exact"/>
        <w:jc w:val="left"/>
        <w:rPr>
          <w:rFonts w:hint="eastAsia" w:ascii="仿宋" w:hAnsi="仿宋" w:cs="仿宋"/>
          <w:b/>
        </w:rPr>
      </w:pPr>
      <w:r>
        <w:rPr>
          <w:rFonts w:hint="eastAsia" w:ascii="仿宋" w:hAnsi="仿宋" w:cs="仿宋"/>
          <w:b/>
        </w:rPr>
        <w:t>项目名称：西宁市湟中区农村人畜饮水净化配套工程建设项目</w:t>
      </w:r>
    </w:p>
    <w:p w14:paraId="22A64A17">
      <w:pPr>
        <w:spacing w:line="520" w:lineRule="exact"/>
        <w:jc w:val="left"/>
        <w:rPr>
          <w:rFonts w:hint="eastAsia" w:ascii="仿宋" w:hAnsi="仿宋" w:cs="仿宋"/>
          <w:b/>
        </w:rPr>
      </w:pPr>
      <w:r>
        <w:rPr>
          <w:rFonts w:hint="eastAsia" w:ascii="仿宋" w:hAnsi="仿宋" w:cs="仿宋"/>
          <w:b/>
        </w:rPr>
        <w:t>建设单位：西宁市湟中区水利建设管理中心</w:t>
      </w:r>
    </w:p>
    <w:p w14:paraId="60752234">
      <w:pPr>
        <w:spacing w:line="520" w:lineRule="exact"/>
        <w:jc w:val="left"/>
        <w:rPr>
          <w:rFonts w:hint="eastAsia" w:ascii="仿宋" w:hAnsi="仿宋" w:cs="仿宋"/>
          <w:b/>
        </w:rPr>
      </w:pPr>
    </w:p>
    <w:p w14:paraId="08AE1A88">
      <w:pPr>
        <w:spacing w:line="520" w:lineRule="exact"/>
        <w:jc w:val="left"/>
        <w:rPr>
          <w:rFonts w:hint="eastAsia" w:ascii="仿宋" w:hAnsi="仿宋" w:cs="仿宋"/>
          <w:b/>
        </w:rPr>
      </w:pPr>
      <w:r>
        <w:rPr>
          <w:rFonts w:hint="eastAsia" w:ascii="仿宋" w:hAnsi="仿宋" w:cs="仿宋"/>
          <w:b/>
        </w:rPr>
        <w:t>编制单位：北京易柯森特科技有限公司</w:t>
      </w:r>
    </w:p>
    <w:p w14:paraId="1A3C8DA1">
      <w:pPr>
        <w:spacing w:line="520" w:lineRule="exact"/>
        <w:ind w:firstLine="1405" w:firstLineChars="500"/>
        <w:jc w:val="left"/>
        <w:rPr>
          <w:rFonts w:hint="eastAsia" w:ascii="仿宋" w:hAnsi="仿宋" w:cs="仿宋"/>
          <w:b/>
        </w:rPr>
      </w:pPr>
    </w:p>
    <w:p w14:paraId="20121223">
      <w:pPr>
        <w:spacing w:line="520" w:lineRule="exact"/>
        <w:jc w:val="left"/>
        <w:rPr>
          <w:rFonts w:hint="eastAsia" w:ascii="仿宋" w:hAnsi="仿宋" w:cs="仿宋"/>
          <w:b/>
        </w:rPr>
      </w:pPr>
    </w:p>
    <w:p w14:paraId="704E887A">
      <w:pPr>
        <w:spacing w:line="520" w:lineRule="exact"/>
        <w:jc w:val="left"/>
        <w:rPr>
          <w:rFonts w:hint="eastAsia" w:ascii="仿宋" w:hAnsi="仿宋" w:cs="仿宋"/>
          <w:b/>
        </w:rPr>
      </w:pPr>
      <w:r>
        <w:rPr>
          <w:rFonts w:hint="eastAsia" w:ascii="仿宋" w:hAnsi="仿宋" w:cs="仿宋"/>
          <w:b/>
        </w:rPr>
        <w:t>编制人员：</w:t>
      </w:r>
    </w:p>
    <w:p w14:paraId="0FD6A044">
      <w:pPr>
        <w:spacing w:line="520" w:lineRule="exact"/>
        <w:jc w:val="left"/>
        <w:rPr>
          <w:rFonts w:hint="eastAsia" w:ascii="仿宋" w:hAnsi="仿宋" w:cs="仿宋"/>
          <w:b/>
        </w:rPr>
      </w:pPr>
    </w:p>
    <w:p w14:paraId="37CF1291">
      <w:pPr>
        <w:spacing w:line="520" w:lineRule="exact"/>
        <w:ind w:firstLine="560"/>
        <w:jc w:val="left"/>
        <w:rPr>
          <w:rFonts w:hint="eastAsia" w:ascii="仿宋" w:hAnsi="仿宋" w:cs="仿宋"/>
          <w:b/>
        </w:rPr>
      </w:pPr>
      <w:r>
        <w:rPr>
          <w:rFonts w:hint="eastAsia" w:ascii="仿宋" w:hAnsi="仿宋" w:cs="仿宋"/>
          <w:b/>
        </w:rPr>
        <w:t xml:space="preserve">祝令伦     </w:t>
      </w:r>
      <w:r>
        <w:rPr>
          <w:rFonts w:hint="eastAsia"/>
          <w:b/>
          <w:bCs/>
          <w:szCs w:val="28"/>
        </w:rPr>
        <w:t>咨询工程师（投资）证书</w:t>
      </w:r>
    </w:p>
    <w:p w14:paraId="1E08118E">
      <w:pPr>
        <w:spacing w:line="520" w:lineRule="exact"/>
        <w:ind w:firstLine="560"/>
        <w:jc w:val="left"/>
        <w:rPr>
          <w:rFonts w:hint="eastAsia" w:ascii="仿宋" w:hAnsi="仿宋" w:cs="仿宋"/>
          <w:b/>
          <w:bCs/>
          <w:szCs w:val="28"/>
        </w:rPr>
      </w:pPr>
      <w:r>
        <w:rPr>
          <w:rFonts w:hint="eastAsia" w:ascii="仿宋" w:hAnsi="仿宋" w:cs="仿宋"/>
          <w:b/>
        </w:rPr>
        <w:t xml:space="preserve">许富强     </w:t>
      </w:r>
      <w:r>
        <w:rPr>
          <w:rFonts w:hint="eastAsia"/>
          <w:b/>
          <w:bCs/>
          <w:szCs w:val="28"/>
        </w:rPr>
        <w:t>咨询工程师（投资）证书</w:t>
      </w:r>
    </w:p>
    <w:p w14:paraId="36963600">
      <w:pPr>
        <w:spacing w:line="520" w:lineRule="exact"/>
        <w:ind w:firstLine="560"/>
        <w:jc w:val="left"/>
        <w:rPr>
          <w:rFonts w:hint="eastAsia" w:ascii="仿宋" w:hAnsi="仿宋" w:cs="仿宋"/>
          <w:b/>
          <w:bCs/>
          <w:szCs w:val="28"/>
        </w:rPr>
      </w:pPr>
      <w:r>
        <w:rPr>
          <w:rFonts w:hint="eastAsia" w:ascii="仿宋" w:hAnsi="仿宋" w:cs="仿宋"/>
          <w:b/>
          <w:bCs/>
          <w:szCs w:val="28"/>
        </w:rPr>
        <w:t xml:space="preserve">樊  佳     </w:t>
      </w:r>
      <w:r>
        <w:rPr>
          <w:rFonts w:hint="eastAsia"/>
          <w:b/>
          <w:bCs/>
          <w:szCs w:val="28"/>
        </w:rPr>
        <w:t>咨询工程师（投资）证书</w:t>
      </w:r>
    </w:p>
    <w:p w14:paraId="3BA2676E">
      <w:pPr>
        <w:spacing w:line="520" w:lineRule="exact"/>
        <w:ind w:firstLine="560"/>
        <w:jc w:val="left"/>
        <w:rPr>
          <w:rFonts w:hint="eastAsia" w:ascii="仿宋" w:hAnsi="仿宋" w:cs="仿宋"/>
          <w:b/>
        </w:rPr>
      </w:pPr>
    </w:p>
    <w:p w14:paraId="6066C119">
      <w:pPr>
        <w:spacing w:line="520" w:lineRule="exact"/>
        <w:ind w:firstLine="560"/>
        <w:jc w:val="left"/>
        <w:rPr>
          <w:rFonts w:hint="eastAsia" w:ascii="仿宋" w:hAnsi="仿宋" w:cs="仿宋"/>
          <w:b/>
        </w:rPr>
      </w:pPr>
    </w:p>
    <w:p w14:paraId="610AC9A0">
      <w:pPr>
        <w:spacing w:line="520" w:lineRule="exact"/>
        <w:ind w:firstLine="560"/>
        <w:jc w:val="left"/>
        <w:rPr>
          <w:rFonts w:hint="eastAsia" w:ascii="仿宋" w:hAnsi="仿宋" w:cs="仿宋"/>
          <w:b/>
        </w:rPr>
      </w:pPr>
    </w:p>
    <w:p w14:paraId="75E5EE64">
      <w:pPr>
        <w:jc w:val="center"/>
        <w:rPr>
          <w:rFonts w:hint="eastAsia" w:ascii="仿宋" w:hAnsi="仿宋" w:cs="仿宋"/>
          <w:b/>
          <w:bCs/>
          <w:szCs w:val="28"/>
        </w:rPr>
      </w:pPr>
      <w:r>
        <w:rPr>
          <w:rFonts w:hint="eastAsia" w:ascii="仿宋" w:hAnsi="仿宋" w:cs="仿宋"/>
          <w:b/>
          <w:bCs/>
          <w:szCs w:val="28"/>
        </w:rPr>
        <w:t>主要编制人员分工表</w:t>
      </w:r>
    </w:p>
    <w:tbl>
      <w:tblPr>
        <w:tblStyle w:val="36"/>
        <w:tblpPr w:leftFromText="180" w:rightFromText="180" w:vertAnchor="text" w:horzAnchor="page" w:tblpXSpec="center" w:tblpY="580"/>
        <w:tblOverlap w:val="never"/>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1"/>
        <w:gridCol w:w="1168"/>
        <w:gridCol w:w="2187"/>
        <w:gridCol w:w="1379"/>
        <w:gridCol w:w="1381"/>
        <w:gridCol w:w="1381"/>
      </w:tblGrid>
      <w:tr w14:paraId="6363E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tcPr>
          <w:p w14:paraId="10F7686B">
            <w:pPr>
              <w:rPr>
                <w:b/>
                <w:bCs/>
                <w:sz w:val="24"/>
              </w:rPr>
            </w:pPr>
            <w:r>
              <w:rPr>
                <w:rFonts w:hint="eastAsia"/>
                <w:b/>
                <w:bCs/>
                <w:sz w:val="24"/>
              </w:rPr>
              <w:t>序号</w:t>
            </w:r>
          </w:p>
        </w:tc>
        <w:tc>
          <w:tcPr>
            <w:tcW w:w="685" w:type="pct"/>
          </w:tcPr>
          <w:p w14:paraId="7E6D8E89">
            <w:pPr>
              <w:rPr>
                <w:b/>
                <w:bCs/>
                <w:sz w:val="24"/>
              </w:rPr>
            </w:pPr>
            <w:r>
              <w:rPr>
                <w:rFonts w:hint="eastAsia"/>
                <w:b/>
                <w:bCs/>
                <w:sz w:val="24"/>
              </w:rPr>
              <w:t>姓名</w:t>
            </w:r>
          </w:p>
        </w:tc>
        <w:tc>
          <w:tcPr>
            <w:tcW w:w="1283" w:type="pct"/>
          </w:tcPr>
          <w:p w14:paraId="4C020A6A">
            <w:pPr>
              <w:rPr>
                <w:b/>
                <w:bCs/>
                <w:sz w:val="24"/>
              </w:rPr>
            </w:pPr>
            <w:r>
              <w:rPr>
                <w:rFonts w:hint="eastAsia"/>
                <w:b/>
                <w:bCs/>
                <w:sz w:val="24"/>
              </w:rPr>
              <w:t>资质</w:t>
            </w:r>
          </w:p>
        </w:tc>
        <w:tc>
          <w:tcPr>
            <w:tcW w:w="809" w:type="pct"/>
          </w:tcPr>
          <w:p w14:paraId="05566D09">
            <w:pPr>
              <w:rPr>
                <w:b/>
                <w:bCs/>
                <w:sz w:val="24"/>
              </w:rPr>
            </w:pPr>
            <w:r>
              <w:rPr>
                <w:rFonts w:hint="eastAsia"/>
                <w:b/>
                <w:bCs/>
                <w:sz w:val="24"/>
              </w:rPr>
              <w:t>资质</w:t>
            </w:r>
          </w:p>
          <w:p w14:paraId="5FA1B4A8">
            <w:pPr>
              <w:rPr>
                <w:b/>
                <w:bCs/>
                <w:sz w:val="24"/>
              </w:rPr>
            </w:pPr>
            <w:r>
              <w:rPr>
                <w:rFonts w:hint="eastAsia"/>
                <w:b/>
                <w:bCs/>
                <w:sz w:val="24"/>
              </w:rPr>
              <w:t>级别</w:t>
            </w:r>
          </w:p>
        </w:tc>
        <w:tc>
          <w:tcPr>
            <w:tcW w:w="810" w:type="pct"/>
          </w:tcPr>
          <w:p w14:paraId="599C6852">
            <w:pPr>
              <w:rPr>
                <w:b/>
                <w:bCs/>
                <w:sz w:val="24"/>
              </w:rPr>
            </w:pPr>
            <w:r>
              <w:rPr>
                <w:rFonts w:hint="eastAsia"/>
                <w:b/>
                <w:bCs/>
                <w:sz w:val="24"/>
              </w:rPr>
              <w:t>负责</w:t>
            </w:r>
          </w:p>
          <w:p w14:paraId="605B0314">
            <w:pPr>
              <w:rPr>
                <w:b/>
                <w:bCs/>
                <w:sz w:val="24"/>
              </w:rPr>
            </w:pPr>
            <w:r>
              <w:rPr>
                <w:rFonts w:hint="eastAsia"/>
                <w:b/>
                <w:bCs/>
                <w:sz w:val="24"/>
              </w:rPr>
              <w:t>部分</w:t>
            </w:r>
          </w:p>
        </w:tc>
        <w:tc>
          <w:tcPr>
            <w:tcW w:w="810" w:type="pct"/>
          </w:tcPr>
          <w:p w14:paraId="1E9208AF">
            <w:pPr>
              <w:rPr>
                <w:b/>
                <w:bCs/>
                <w:sz w:val="24"/>
              </w:rPr>
            </w:pPr>
            <w:r>
              <w:rPr>
                <w:rFonts w:hint="eastAsia"/>
                <w:b/>
                <w:bCs/>
                <w:sz w:val="24"/>
              </w:rPr>
              <w:t>备注</w:t>
            </w:r>
          </w:p>
        </w:tc>
      </w:tr>
      <w:tr w14:paraId="3FD2FB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tcPr>
          <w:p w14:paraId="0A0AAD37">
            <w:pPr>
              <w:jc w:val="center"/>
              <w:rPr>
                <w:sz w:val="24"/>
              </w:rPr>
            </w:pPr>
            <w:r>
              <w:rPr>
                <w:rFonts w:hint="eastAsia"/>
                <w:sz w:val="24"/>
              </w:rPr>
              <w:t>1</w:t>
            </w:r>
          </w:p>
        </w:tc>
        <w:tc>
          <w:tcPr>
            <w:tcW w:w="685" w:type="pct"/>
          </w:tcPr>
          <w:p w14:paraId="56A3C6A2">
            <w:pPr>
              <w:rPr>
                <w:sz w:val="24"/>
              </w:rPr>
            </w:pPr>
            <w:r>
              <w:rPr>
                <w:rFonts w:hint="eastAsia"/>
                <w:sz w:val="24"/>
              </w:rPr>
              <w:t>祝令伦</w:t>
            </w:r>
          </w:p>
        </w:tc>
        <w:tc>
          <w:tcPr>
            <w:tcW w:w="1283" w:type="pct"/>
          </w:tcPr>
          <w:p w14:paraId="640822C5">
            <w:pPr>
              <w:rPr>
                <w:sz w:val="24"/>
              </w:rPr>
            </w:pPr>
            <w:r>
              <w:rPr>
                <w:rFonts w:hint="eastAsia"/>
                <w:sz w:val="24"/>
              </w:rPr>
              <w:t>咨询工程师（投资）证书</w:t>
            </w:r>
          </w:p>
        </w:tc>
        <w:tc>
          <w:tcPr>
            <w:tcW w:w="809" w:type="pct"/>
          </w:tcPr>
          <w:p w14:paraId="272ACB51">
            <w:pPr>
              <w:rPr>
                <w:sz w:val="24"/>
              </w:rPr>
            </w:pPr>
            <w:r>
              <w:rPr>
                <w:rFonts w:hint="eastAsia"/>
                <w:sz w:val="24"/>
              </w:rPr>
              <w:t>中级</w:t>
            </w:r>
          </w:p>
        </w:tc>
        <w:tc>
          <w:tcPr>
            <w:tcW w:w="810" w:type="pct"/>
          </w:tcPr>
          <w:p w14:paraId="2FC69D8C">
            <w:pPr>
              <w:rPr>
                <w:sz w:val="24"/>
              </w:rPr>
            </w:pPr>
            <w:r>
              <w:rPr>
                <w:rFonts w:hint="eastAsia"/>
                <w:sz w:val="24"/>
              </w:rPr>
              <w:t>全部</w:t>
            </w:r>
          </w:p>
        </w:tc>
        <w:tc>
          <w:tcPr>
            <w:tcW w:w="810" w:type="pct"/>
          </w:tcPr>
          <w:p w14:paraId="7196C365">
            <w:pPr>
              <w:rPr>
                <w:sz w:val="24"/>
              </w:rPr>
            </w:pPr>
            <w:r>
              <w:rPr>
                <w:rFonts w:hint="eastAsia"/>
                <w:sz w:val="24"/>
              </w:rPr>
              <w:t>审核</w:t>
            </w:r>
          </w:p>
        </w:tc>
      </w:tr>
      <w:tr w14:paraId="7CEBE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tcPr>
          <w:p w14:paraId="1BF795DF">
            <w:pPr>
              <w:jc w:val="center"/>
              <w:rPr>
                <w:sz w:val="24"/>
              </w:rPr>
            </w:pPr>
            <w:r>
              <w:rPr>
                <w:rFonts w:hint="eastAsia"/>
                <w:sz w:val="24"/>
              </w:rPr>
              <w:t>2</w:t>
            </w:r>
          </w:p>
        </w:tc>
        <w:tc>
          <w:tcPr>
            <w:tcW w:w="685" w:type="pct"/>
          </w:tcPr>
          <w:p w14:paraId="043D50CD">
            <w:pPr>
              <w:rPr>
                <w:sz w:val="24"/>
              </w:rPr>
            </w:pPr>
            <w:r>
              <w:rPr>
                <w:rFonts w:hint="eastAsia"/>
                <w:sz w:val="24"/>
              </w:rPr>
              <w:t>许富强</w:t>
            </w:r>
          </w:p>
        </w:tc>
        <w:tc>
          <w:tcPr>
            <w:tcW w:w="1283" w:type="pct"/>
          </w:tcPr>
          <w:p w14:paraId="3F517235">
            <w:pPr>
              <w:rPr>
                <w:sz w:val="24"/>
              </w:rPr>
            </w:pPr>
            <w:r>
              <w:rPr>
                <w:rFonts w:hint="eastAsia"/>
                <w:sz w:val="24"/>
              </w:rPr>
              <w:t>咨询工程师（投资）证书</w:t>
            </w:r>
          </w:p>
        </w:tc>
        <w:tc>
          <w:tcPr>
            <w:tcW w:w="809" w:type="pct"/>
          </w:tcPr>
          <w:p w14:paraId="32973BC3">
            <w:pPr>
              <w:rPr>
                <w:sz w:val="24"/>
              </w:rPr>
            </w:pPr>
            <w:r>
              <w:rPr>
                <w:rFonts w:hint="eastAsia"/>
                <w:sz w:val="24"/>
              </w:rPr>
              <w:t>中级</w:t>
            </w:r>
          </w:p>
        </w:tc>
        <w:tc>
          <w:tcPr>
            <w:tcW w:w="810" w:type="pct"/>
          </w:tcPr>
          <w:p w14:paraId="6EDC7FE1">
            <w:pPr>
              <w:rPr>
                <w:sz w:val="24"/>
              </w:rPr>
            </w:pPr>
            <w:r>
              <w:rPr>
                <w:rFonts w:hint="eastAsia"/>
                <w:sz w:val="24"/>
              </w:rPr>
              <w:t>第1-5章节</w:t>
            </w:r>
          </w:p>
        </w:tc>
        <w:tc>
          <w:tcPr>
            <w:tcW w:w="810" w:type="pct"/>
          </w:tcPr>
          <w:p w14:paraId="1C22C4FD">
            <w:pPr>
              <w:rPr>
                <w:sz w:val="24"/>
              </w:rPr>
            </w:pPr>
            <w:r>
              <w:rPr>
                <w:rFonts w:hint="eastAsia"/>
                <w:sz w:val="24"/>
              </w:rPr>
              <w:t>审核</w:t>
            </w:r>
          </w:p>
        </w:tc>
      </w:tr>
      <w:tr w14:paraId="04425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599" w:type="pct"/>
          </w:tcPr>
          <w:p w14:paraId="0113EEE1">
            <w:pPr>
              <w:jc w:val="center"/>
              <w:rPr>
                <w:sz w:val="24"/>
              </w:rPr>
            </w:pPr>
            <w:r>
              <w:rPr>
                <w:rFonts w:hint="eastAsia"/>
                <w:sz w:val="24"/>
              </w:rPr>
              <w:t>3</w:t>
            </w:r>
          </w:p>
        </w:tc>
        <w:tc>
          <w:tcPr>
            <w:tcW w:w="685" w:type="pct"/>
          </w:tcPr>
          <w:p w14:paraId="74BFD2D3">
            <w:pPr>
              <w:rPr>
                <w:sz w:val="24"/>
              </w:rPr>
            </w:pPr>
            <w:r>
              <w:rPr>
                <w:rFonts w:hint="eastAsia"/>
                <w:sz w:val="24"/>
              </w:rPr>
              <w:t>樊佳</w:t>
            </w:r>
          </w:p>
        </w:tc>
        <w:tc>
          <w:tcPr>
            <w:tcW w:w="1283" w:type="pct"/>
          </w:tcPr>
          <w:p w14:paraId="7E07E57B">
            <w:pPr>
              <w:rPr>
                <w:sz w:val="24"/>
              </w:rPr>
            </w:pPr>
            <w:r>
              <w:rPr>
                <w:rFonts w:hint="eastAsia"/>
                <w:sz w:val="24"/>
              </w:rPr>
              <w:t>咨询工程师（投资）证书</w:t>
            </w:r>
          </w:p>
        </w:tc>
        <w:tc>
          <w:tcPr>
            <w:tcW w:w="809" w:type="pct"/>
          </w:tcPr>
          <w:p w14:paraId="0FFB9C98">
            <w:pPr>
              <w:rPr>
                <w:sz w:val="24"/>
              </w:rPr>
            </w:pPr>
            <w:r>
              <w:rPr>
                <w:rFonts w:hint="eastAsia"/>
                <w:sz w:val="24"/>
              </w:rPr>
              <w:t>中级</w:t>
            </w:r>
          </w:p>
        </w:tc>
        <w:tc>
          <w:tcPr>
            <w:tcW w:w="810" w:type="pct"/>
          </w:tcPr>
          <w:p w14:paraId="42B31EE7">
            <w:pPr>
              <w:rPr>
                <w:sz w:val="24"/>
              </w:rPr>
            </w:pPr>
            <w:r>
              <w:rPr>
                <w:rFonts w:hint="eastAsia"/>
                <w:color w:val="C00000"/>
                <w:sz w:val="24"/>
              </w:rPr>
              <w:t>第6-13章节</w:t>
            </w:r>
          </w:p>
        </w:tc>
        <w:tc>
          <w:tcPr>
            <w:tcW w:w="810" w:type="pct"/>
          </w:tcPr>
          <w:p w14:paraId="6CB559C9">
            <w:pPr>
              <w:rPr>
                <w:sz w:val="24"/>
              </w:rPr>
            </w:pPr>
            <w:r>
              <w:rPr>
                <w:rFonts w:hint="eastAsia"/>
                <w:sz w:val="24"/>
              </w:rPr>
              <w:t>编制人员</w:t>
            </w:r>
          </w:p>
        </w:tc>
      </w:tr>
    </w:tbl>
    <w:p w14:paraId="68A9E10B">
      <w:pPr>
        <w:tabs>
          <w:tab w:val="left" w:pos="3570"/>
          <w:tab w:val="left" w:pos="3780"/>
        </w:tabs>
        <w:jc w:val="distribute"/>
        <w:rPr>
          <w:rFonts w:hint="eastAsia" w:ascii="仿宋" w:hAnsi="仿宋"/>
          <w:b/>
          <w:bCs/>
          <w:sz w:val="30"/>
          <w:szCs w:val="30"/>
        </w:rPr>
        <w:sectPr>
          <w:footerReference r:id="rId3" w:type="default"/>
          <w:pgSz w:w="11906" w:h="16838"/>
          <w:pgMar w:top="1440" w:right="1800" w:bottom="1440" w:left="1800" w:header="850" w:footer="992" w:gutter="0"/>
          <w:pgNumType w:fmt="upperRoman" w:start="1"/>
          <w:cols w:space="720" w:num="1"/>
          <w:docGrid w:type="lines" w:linePitch="381" w:charSpace="0"/>
        </w:sectPr>
      </w:pPr>
    </w:p>
    <w:p w14:paraId="5713E583">
      <w:r>
        <w:rPr>
          <w:rFonts w:hint="eastAsia" w:ascii="仿宋" w:hAnsi="仿宋" w:cs="仿宋"/>
          <w:b/>
          <w:bCs/>
          <w:color w:val="0000FF"/>
          <w:szCs w:val="28"/>
          <w:lang w:val="zh-CN"/>
        </w:rPr>
        <w:t>编制单位</w:t>
      </w:r>
      <w:r>
        <w:rPr>
          <w:rFonts w:hint="eastAsia" w:ascii="仿宋" w:hAnsi="仿宋" w:cs="仿宋"/>
          <w:b/>
          <w:bCs/>
          <w:color w:val="0000FF"/>
          <w:szCs w:val="28"/>
        </w:rPr>
        <w:t>营业执照</w:t>
      </w:r>
    </w:p>
    <w:p w14:paraId="3158BB6A">
      <w:r>
        <w:rPr>
          <w:rFonts w:hint="eastAsia"/>
        </w:rPr>
        <w:drawing>
          <wp:inline distT="0" distB="0" distL="0" distR="0">
            <wp:extent cx="7502525" cy="5312410"/>
            <wp:effectExtent l="0" t="0" r="8890" b="3175"/>
            <wp:docPr id="2" name="图片 2" descr="E:\赵菲\赵菲【投标】相关工作资料\1标书资料\【易柯森特】\2公司资质证书\营业执照（副本）三证合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E:\赵菲\赵菲【投标】相关工作资料\1标书资料\【易柯森特】\2公司资质证书\营业执照（副本）三证合一.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rot="16200000">
                      <a:off x="0" y="0"/>
                      <a:ext cx="7533309" cy="5334280"/>
                    </a:xfrm>
                    <a:prstGeom prst="rect">
                      <a:avLst/>
                    </a:prstGeom>
                    <a:noFill/>
                    <a:ln>
                      <a:noFill/>
                    </a:ln>
                  </pic:spPr>
                </pic:pic>
              </a:graphicData>
            </a:graphic>
          </wp:inline>
        </w:drawing>
      </w:r>
    </w:p>
    <w:p w14:paraId="341AAFC5">
      <w:pPr>
        <w:widowControl/>
        <w:jc w:val="left"/>
      </w:pPr>
      <w:r>
        <w:br w:type="page"/>
      </w:r>
    </w:p>
    <w:p w14:paraId="7ED5DF5F">
      <w:r>
        <w:rPr>
          <w:rFonts w:hint="eastAsia"/>
        </w:rPr>
        <w:t>工程设计资质证书（甲级）</w:t>
      </w:r>
    </w:p>
    <w:p w14:paraId="6DE7324D">
      <w:pPr>
        <w:pStyle w:val="71"/>
        <w:jc w:val="center"/>
      </w:pPr>
      <w:r>
        <w:rPr>
          <w:rFonts w:hint="eastAsia"/>
        </w:rPr>
        <w:drawing>
          <wp:inline distT="0" distB="0" distL="0" distR="0">
            <wp:extent cx="7067550" cy="5002530"/>
            <wp:effectExtent l="0" t="0" r="1270" b="6350"/>
            <wp:docPr id="3" name="图片 3" descr="E:\赵菲\赵菲【投标】相关工作资料\1标书资料\【易柯森特】\2公司资质证书\工程设计资质证书（甲级）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E:\赵菲\赵菲【投标】相关工作资料\1标书资料\【易柯森特】\2公司资质证书\工程设计资质证书（甲级）0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rot="16200000">
                      <a:off x="0" y="0"/>
                      <a:ext cx="7067826" cy="5002503"/>
                    </a:xfrm>
                    <a:prstGeom prst="rect">
                      <a:avLst/>
                    </a:prstGeom>
                    <a:noFill/>
                    <a:ln>
                      <a:noFill/>
                    </a:ln>
                  </pic:spPr>
                </pic:pic>
              </a:graphicData>
            </a:graphic>
          </wp:inline>
        </w:drawing>
      </w:r>
    </w:p>
    <w:p w14:paraId="67994ED9">
      <w:pPr>
        <w:sectPr>
          <w:headerReference r:id="rId4" w:type="default"/>
          <w:footerReference r:id="rId5" w:type="default"/>
          <w:pgSz w:w="11906" w:h="16838"/>
          <w:pgMar w:top="1440" w:right="1800" w:bottom="1440" w:left="1800" w:header="851" w:footer="1134" w:gutter="0"/>
          <w:pgNumType w:fmt="upperRoman"/>
          <w:cols w:space="425" w:num="1"/>
          <w:docGrid w:type="lines" w:linePitch="381" w:charSpace="0"/>
        </w:sectPr>
      </w:pPr>
    </w:p>
    <w:p w14:paraId="5BBCA434">
      <w:r>
        <w:rPr>
          <w:rFonts w:hint="eastAsia"/>
        </w:rPr>
        <w:t>祝令伦</w:t>
      </w:r>
    </w:p>
    <w:p w14:paraId="6EF43DBF">
      <w:pPr>
        <w:pStyle w:val="71"/>
        <w:jc w:val="center"/>
      </w:pPr>
      <w:r>
        <w:rPr>
          <w:rFonts w:hint="eastAsia"/>
        </w:rPr>
        <w:drawing>
          <wp:inline distT="0" distB="0" distL="0" distR="0">
            <wp:extent cx="5220970" cy="7391400"/>
            <wp:effectExtent l="0" t="0" r="11430" b="0"/>
            <wp:docPr id="164" name="图片 164" descr="C:\Users\Administrator\Desktop\祝令伦-咨询工程师（投资）登记证书有效期至2025.1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C:\Users\Administrator\Desktop\祝令伦-咨询工程师（投资）登记证书有效期至2025.12.1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5221883" cy="7392219"/>
                    </a:xfrm>
                    <a:prstGeom prst="rect">
                      <a:avLst/>
                    </a:prstGeom>
                    <a:noFill/>
                    <a:ln>
                      <a:noFill/>
                    </a:ln>
                  </pic:spPr>
                </pic:pic>
              </a:graphicData>
            </a:graphic>
          </wp:inline>
        </w:drawing>
      </w:r>
    </w:p>
    <w:p w14:paraId="2AF1C6F1">
      <w:pPr>
        <w:jc w:val="center"/>
        <w:rPr>
          <w:rFonts w:hint="eastAsia" w:ascii="宋体" w:hAnsi="宋体" w:cs="宋体"/>
        </w:rPr>
      </w:pPr>
    </w:p>
    <w:p w14:paraId="2E67D321">
      <w:pPr>
        <w:sectPr>
          <w:pgSz w:w="11906" w:h="16838"/>
          <w:pgMar w:top="1440" w:right="1800" w:bottom="1440" w:left="1800" w:header="851" w:footer="1134" w:gutter="0"/>
          <w:pgNumType w:fmt="upperRoman"/>
          <w:cols w:space="425" w:num="1"/>
          <w:docGrid w:type="lines" w:linePitch="381" w:charSpace="0"/>
        </w:sectPr>
      </w:pPr>
      <w:bookmarkStart w:id="0" w:name="_Toc103351306"/>
      <w:bookmarkStart w:id="1" w:name="_Toc105600372"/>
    </w:p>
    <w:p w14:paraId="30614CB6">
      <w:r>
        <w:rPr>
          <w:rFonts w:hint="eastAsia"/>
        </w:rPr>
        <w:t>许富强</w:t>
      </w:r>
      <w:bookmarkEnd w:id="0"/>
      <w:bookmarkEnd w:id="1"/>
    </w:p>
    <w:p w14:paraId="1FC8A3FB">
      <w:r>
        <w:rPr>
          <w:rFonts w:hint="eastAsia" w:ascii="宋体" w:hAnsi="宋体" w:cs="宋体"/>
        </w:rPr>
        <w:drawing>
          <wp:inline distT="0" distB="0" distL="0" distR="0">
            <wp:extent cx="5335905" cy="7543800"/>
            <wp:effectExtent l="0" t="0" r="10795" b="0"/>
            <wp:docPr id="108" name="图片 108" descr="C:\Users\Administrator\Desktop\标书编写资源\人员资质\x许富强\咨询登记证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C:\Users\Administrator\Desktop\标书编写资源\人员资质\x许富强\咨询登记证书.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329402" cy="7534386"/>
                    </a:xfrm>
                    <a:prstGeom prst="rect">
                      <a:avLst/>
                    </a:prstGeom>
                    <a:noFill/>
                    <a:ln>
                      <a:noFill/>
                    </a:ln>
                  </pic:spPr>
                </pic:pic>
              </a:graphicData>
            </a:graphic>
          </wp:inline>
        </w:drawing>
      </w:r>
    </w:p>
    <w:p w14:paraId="6F47A10F">
      <w:pPr>
        <w:pStyle w:val="71"/>
      </w:pPr>
      <w:r>
        <w:br w:type="page"/>
      </w:r>
    </w:p>
    <w:p w14:paraId="29FAA43A">
      <w:r>
        <w:rPr>
          <w:rFonts w:hint="eastAsia"/>
        </w:rPr>
        <w:t>樊佳</w:t>
      </w:r>
    </w:p>
    <w:p w14:paraId="0F7B0E94">
      <w:pPr>
        <w:pStyle w:val="71"/>
        <w:jc w:val="center"/>
        <w:rPr>
          <w:rFonts w:hint="eastAsia" w:ascii="宋体" w:hAnsi="宋体" w:cs="宋体"/>
        </w:rPr>
      </w:pPr>
      <w:r>
        <w:rPr>
          <w:rFonts w:hint="eastAsia" w:ascii="宋体" w:hAnsi="宋体" w:cs="宋体"/>
        </w:rPr>
        <w:drawing>
          <wp:inline distT="0" distB="0" distL="0" distR="0">
            <wp:extent cx="5210175" cy="7376160"/>
            <wp:effectExtent l="0" t="0" r="9525" b="2540"/>
            <wp:docPr id="72" name="图片 72" descr="E:\易柯材料\标书编写资源\人员资质\F樊佳\樊佳-咨询工程师（投资）登记证书有效期至202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E:\易柯材料\标书编写资源\人员资质\F樊佳\樊佳-咨询工程师（投资）登记证书有效期至2026.9.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211116" cy="7376977"/>
                    </a:xfrm>
                    <a:prstGeom prst="rect">
                      <a:avLst/>
                    </a:prstGeom>
                    <a:noFill/>
                    <a:ln>
                      <a:noFill/>
                    </a:ln>
                  </pic:spPr>
                </pic:pic>
              </a:graphicData>
            </a:graphic>
          </wp:inline>
        </w:drawing>
      </w:r>
    </w:p>
    <w:p w14:paraId="7EEAFE82">
      <w:pPr>
        <w:rPr>
          <w:lang w:val="zh-CN"/>
        </w:rPr>
      </w:pPr>
    </w:p>
    <w:sdt>
      <w:sdtPr>
        <w:rPr>
          <w:rFonts w:eastAsia="仿宋" w:asciiTheme="minorHAnsi" w:hAnsiTheme="minorHAnsi" w:cstheme="minorBidi"/>
          <w:color w:val="auto"/>
          <w:kern w:val="2"/>
          <w:sz w:val="28"/>
          <w:szCs w:val="24"/>
          <w:lang w:val="zh-CN"/>
        </w:rPr>
        <w:id w:val="463092706"/>
        <w:docPartObj>
          <w:docPartGallery w:val="Table of Contents"/>
          <w:docPartUnique/>
        </w:docPartObj>
      </w:sdtPr>
      <w:sdtEndPr>
        <w:rPr>
          <w:rFonts w:eastAsia="仿宋" w:asciiTheme="minorHAnsi" w:hAnsiTheme="minorHAnsi" w:cstheme="minorBidi"/>
          <w:b/>
          <w:bCs/>
          <w:color w:val="auto"/>
          <w:kern w:val="2"/>
          <w:sz w:val="28"/>
          <w:szCs w:val="24"/>
          <w:lang w:val="zh-CN"/>
        </w:rPr>
      </w:sdtEndPr>
      <w:sdtContent>
        <w:p w14:paraId="1832AAA7">
          <w:pPr>
            <w:pStyle w:val="53"/>
            <w:spacing w:before="120" w:line="360" w:lineRule="auto"/>
            <w:jc w:val="center"/>
            <w:rPr>
              <w:b/>
              <w:bCs/>
              <w:color w:val="auto"/>
            </w:rPr>
          </w:pPr>
          <w:r>
            <w:rPr>
              <w:b/>
              <w:bCs/>
              <w:color w:val="auto"/>
              <w:lang w:val="zh-CN"/>
            </w:rPr>
            <w:t>目录</w:t>
          </w:r>
        </w:p>
        <w:p w14:paraId="7453AADB">
          <w:pPr>
            <w:pStyle w:val="25"/>
            <w:tabs>
              <w:tab w:val="right" w:leader="dot" w:pos="8296"/>
            </w:tabs>
            <w:rPr>
              <w:rFonts w:hint="eastAsia" w:asciiTheme="minorHAnsi" w:hAnsiTheme="minorHAnsi" w:eastAsiaTheme="minorEastAsia" w:cstheme="minorBidi"/>
              <w:b w:val="0"/>
              <w:sz w:val="21"/>
              <w:szCs w:val="22"/>
              <w14:ligatures w14:val="standardContextual"/>
            </w:rPr>
          </w:pPr>
          <w:r>
            <w:rPr>
              <w:rFonts w:hint="eastAsia"/>
            </w:rPr>
            <w:fldChar w:fldCharType="begin"/>
          </w:r>
          <w:r>
            <w:rPr>
              <w:rFonts w:hint="eastAsia"/>
            </w:rPr>
            <w:instrText xml:space="preserve"> TOC \o "1-3" \h \z \u </w:instrText>
          </w:r>
          <w:r>
            <w:rPr>
              <w:rFonts w:hint="eastAsia"/>
            </w:rPr>
            <w:fldChar w:fldCharType="separate"/>
          </w:r>
          <w:r>
            <w:fldChar w:fldCharType="begin"/>
          </w:r>
          <w:r>
            <w:instrText xml:space="preserve"> HYPERLINK \l "_Toc175233318" </w:instrText>
          </w:r>
          <w:r>
            <w:fldChar w:fldCharType="separate"/>
          </w:r>
          <w:r>
            <w:rPr>
              <w:rStyle w:val="40"/>
              <w:rFonts w:hint="eastAsia" w:hAnsi="仿宋"/>
            </w:rPr>
            <w:t>第一章</w:t>
          </w:r>
          <w:r>
            <w:rPr>
              <w:rStyle w:val="40"/>
              <w:rFonts w:hint="eastAsia"/>
            </w:rPr>
            <w:t xml:space="preserve"> 项目概况</w:t>
          </w:r>
          <w:r>
            <w:rPr>
              <w:rFonts w:hint="eastAsia"/>
            </w:rPr>
            <w:tab/>
          </w:r>
          <w:r>
            <w:rPr>
              <w:rFonts w:hint="eastAsia"/>
            </w:rPr>
            <w:fldChar w:fldCharType="begin"/>
          </w:r>
          <w:r>
            <w:rPr>
              <w:rFonts w:hint="eastAsia"/>
            </w:rPr>
            <w:instrText xml:space="preserve"> </w:instrText>
          </w:r>
          <w:r>
            <w:instrText xml:space="preserve">PAGEREF _Toc175233318 \h</w:instrText>
          </w:r>
          <w:r>
            <w:rPr>
              <w:rFonts w:hint="eastAsia"/>
            </w:rPr>
            <w:instrText xml:space="preserve"> </w:instrText>
          </w:r>
          <w:r>
            <w:rPr>
              <w:rFonts w:hint="eastAsia"/>
            </w:rPr>
            <w:fldChar w:fldCharType="separate"/>
          </w:r>
          <w:r>
            <w:rPr>
              <w:rFonts w:hint="eastAsia"/>
            </w:rPr>
            <w:t>1</w:t>
          </w:r>
          <w:r>
            <w:rPr>
              <w:rFonts w:hint="eastAsia"/>
            </w:rPr>
            <w:fldChar w:fldCharType="end"/>
          </w:r>
          <w:r>
            <w:rPr>
              <w:rFonts w:hint="eastAsia"/>
            </w:rPr>
            <w:fldChar w:fldCharType="end"/>
          </w:r>
        </w:p>
        <w:p w14:paraId="48CE7C62">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"_Toc175233319" </w:instrText>
          </w:r>
          <w:r>
            <w:fldChar w:fldCharType="separate"/>
          </w:r>
          <w:r>
            <w:rPr>
              <w:rStyle w:val="40"/>
              <w:rFonts w:hint="eastAsia" w:cs="Times New Roman"/>
            </w:rPr>
            <w:t>1.1</w:t>
          </w:r>
          <w:r>
            <w:rPr>
              <w:rFonts w:hint="eastAsia" w:asciiTheme="minorHAnsi" w:hAnsiTheme="minorHAnsi" w:eastAsiaTheme="minorEastAsia" w:cstheme="minorBidi"/>
              <w:szCs w:val="22"/>
              <w14:ligatures w14:val="standardContextual"/>
            </w:rPr>
            <w:tab/>
          </w:r>
          <w:r>
            <w:rPr>
              <w:rStyle w:val="40"/>
              <w:rFonts w:hint="eastAsia"/>
            </w:rPr>
            <w:t>项目名称</w:t>
          </w:r>
          <w:r>
            <w:rPr>
              <w:rFonts w:hint="eastAsia"/>
            </w:rPr>
            <w:tab/>
          </w:r>
          <w:r>
            <w:rPr>
              <w:rFonts w:hint="eastAsia"/>
            </w:rPr>
            <w:fldChar w:fldCharType="begin"/>
          </w:r>
          <w:r>
            <w:rPr>
              <w:rFonts w:hint="eastAsia"/>
            </w:rPr>
            <w:instrText xml:space="preserve"> </w:instrText>
          </w:r>
          <w:r>
            <w:instrText xml:space="preserve">PAGEREF _Toc175233319 \h</w:instrText>
          </w:r>
          <w:r>
            <w:rPr>
              <w:rFonts w:hint="eastAsia"/>
            </w:rPr>
            <w:instrText xml:space="preserve"> </w:instrText>
          </w:r>
          <w:r>
            <w:rPr>
              <w:rFonts w:hint="eastAsia"/>
            </w:rPr>
            <w:fldChar w:fldCharType="separate"/>
          </w:r>
          <w:r>
            <w:rPr>
              <w:rFonts w:hint="eastAsia"/>
            </w:rPr>
            <w:t>1</w:t>
          </w:r>
          <w:r>
            <w:rPr>
              <w:rFonts w:hint="eastAsia"/>
            </w:rPr>
            <w:fldChar w:fldCharType="end"/>
          </w:r>
          <w:r>
            <w:rPr>
              <w:rFonts w:hint="eastAsia"/>
            </w:rPr>
            <w:fldChar w:fldCharType="end"/>
          </w:r>
        </w:p>
        <w:p w14:paraId="348699F0">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"_Toc175233320" </w:instrText>
          </w:r>
          <w:r>
            <w:fldChar w:fldCharType="separate"/>
          </w:r>
          <w:r>
            <w:rPr>
              <w:rStyle w:val="40"/>
              <w:rFonts w:hint="eastAsia" w:cs="Times New Roman"/>
            </w:rPr>
            <w:t>1.2</w:t>
          </w:r>
          <w:r>
            <w:rPr>
              <w:rFonts w:hint="eastAsia" w:asciiTheme="minorHAnsi" w:hAnsiTheme="minorHAnsi" w:eastAsiaTheme="minorEastAsia" w:cstheme="minorBidi"/>
              <w:szCs w:val="22"/>
              <w14:ligatures w14:val="standardContextual"/>
            </w:rPr>
            <w:tab/>
          </w:r>
          <w:r>
            <w:rPr>
              <w:rStyle w:val="40"/>
              <w:rFonts w:hint="eastAsia"/>
            </w:rPr>
            <w:t>项目单位</w:t>
          </w:r>
          <w:r>
            <w:rPr>
              <w:rFonts w:hint="eastAsia"/>
            </w:rPr>
            <w:tab/>
          </w:r>
          <w:r>
            <w:rPr>
              <w:rFonts w:hint="eastAsia"/>
            </w:rPr>
            <w:fldChar w:fldCharType="begin"/>
          </w:r>
          <w:r>
            <w:rPr>
              <w:rFonts w:hint="eastAsia"/>
            </w:rPr>
            <w:instrText xml:space="preserve"> </w:instrText>
          </w:r>
          <w:r>
            <w:instrText xml:space="preserve">PAGEREF _Toc175233320 \h</w:instrText>
          </w:r>
          <w:r>
            <w:rPr>
              <w:rFonts w:hint="eastAsia"/>
            </w:rPr>
            <w:instrText xml:space="preserve"> </w:instrText>
          </w:r>
          <w:r>
            <w:rPr>
              <w:rFonts w:hint="eastAsia"/>
            </w:rPr>
            <w:fldChar w:fldCharType="separate"/>
          </w:r>
          <w:r>
            <w:rPr>
              <w:rFonts w:hint="eastAsia"/>
            </w:rPr>
            <w:t>1</w:t>
          </w:r>
          <w:r>
            <w:rPr>
              <w:rFonts w:hint="eastAsia"/>
            </w:rPr>
            <w:fldChar w:fldCharType="end"/>
          </w:r>
          <w:r>
            <w:rPr>
              <w:rFonts w:hint="eastAsia"/>
            </w:rPr>
            <w:fldChar w:fldCharType="end"/>
          </w:r>
        </w:p>
        <w:p w14:paraId="2ACC59F7">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"_Toc175233321" </w:instrText>
          </w:r>
          <w:r>
            <w:fldChar w:fldCharType="separate"/>
          </w:r>
          <w:r>
            <w:rPr>
              <w:rStyle w:val="40"/>
              <w:rFonts w:hint="eastAsia" w:cs="Times New Roman"/>
            </w:rPr>
            <w:t>1.3</w:t>
          </w:r>
          <w:r>
            <w:rPr>
              <w:rFonts w:hint="eastAsia" w:asciiTheme="minorHAnsi" w:hAnsiTheme="minorHAnsi" w:eastAsiaTheme="minorEastAsia" w:cstheme="minorBidi"/>
              <w:szCs w:val="22"/>
              <w14:ligatures w14:val="standardContextual"/>
            </w:rPr>
            <w:tab/>
          </w:r>
          <w:r>
            <w:rPr>
              <w:rStyle w:val="40"/>
              <w:rFonts w:hint="eastAsia"/>
            </w:rPr>
            <w:t>设计依据</w:t>
          </w:r>
          <w:r>
            <w:rPr>
              <w:rFonts w:hint="eastAsia"/>
            </w:rPr>
            <w:tab/>
          </w:r>
          <w:r>
            <w:rPr>
              <w:rFonts w:hint="eastAsia"/>
            </w:rPr>
            <w:fldChar w:fldCharType="begin"/>
          </w:r>
          <w:r>
            <w:rPr>
              <w:rFonts w:hint="eastAsia"/>
            </w:rPr>
            <w:instrText xml:space="preserve"> </w:instrText>
          </w:r>
          <w:r>
            <w:instrText xml:space="preserve">PAGEREF _Toc175233321 \h</w:instrText>
          </w:r>
          <w:r>
            <w:rPr>
              <w:rFonts w:hint="eastAsia"/>
            </w:rPr>
            <w:instrText xml:space="preserve"> </w:instrText>
          </w:r>
          <w:r>
            <w:rPr>
              <w:rFonts w:hint="eastAsia"/>
            </w:rPr>
            <w:fldChar w:fldCharType="separate"/>
          </w:r>
          <w:r>
            <w:rPr>
              <w:rFonts w:hint="eastAsia"/>
            </w:rPr>
            <w:t>1</w:t>
          </w:r>
          <w:r>
            <w:rPr>
              <w:rFonts w:hint="eastAsia"/>
            </w:rPr>
            <w:fldChar w:fldCharType="end"/>
          </w:r>
          <w:r>
            <w:rPr>
              <w:rFonts w:hint="eastAsia"/>
            </w:rPr>
            <w:fldChar w:fldCharType="end"/>
          </w:r>
        </w:p>
        <w:p w14:paraId="7CA42108">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"_Toc175233322" </w:instrText>
          </w:r>
          <w:r>
            <w:fldChar w:fldCharType="separate"/>
          </w:r>
          <w:r>
            <w:rPr>
              <w:rStyle w:val="40"/>
              <w:rFonts w:hint="eastAsia" w:cs="Times New Roman"/>
            </w:rPr>
            <w:t>1.4</w:t>
          </w:r>
          <w:r>
            <w:rPr>
              <w:rFonts w:hint="eastAsia" w:asciiTheme="minorHAnsi" w:hAnsiTheme="minorHAnsi" w:eastAsiaTheme="minorEastAsia" w:cstheme="minorBidi"/>
              <w:szCs w:val="22"/>
              <w14:ligatures w14:val="standardContextual"/>
            </w:rPr>
            <w:tab/>
          </w:r>
          <w:r>
            <w:rPr>
              <w:rStyle w:val="40"/>
              <w:rFonts w:hint="eastAsia"/>
            </w:rPr>
            <w:t>项目建设目标</w:t>
          </w:r>
          <w:r>
            <w:rPr>
              <w:rFonts w:hint="eastAsia"/>
            </w:rPr>
            <w:tab/>
          </w:r>
          <w:r>
            <w:rPr>
              <w:rFonts w:hint="eastAsia"/>
            </w:rPr>
            <w:fldChar w:fldCharType="begin"/>
          </w:r>
          <w:r>
            <w:rPr>
              <w:rFonts w:hint="eastAsia"/>
            </w:rPr>
            <w:instrText xml:space="preserve"> </w:instrText>
          </w:r>
          <w:r>
            <w:instrText xml:space="preserve">PAGEREF _Toc175233322 \h</w:instrText>
          </w:r>
          <w:r>
            <w:rPr>
              <w:rFonts w:hint="eastAsia"/>
            </w:rPr>
            <w:instrText xml:space="preserve"> </w:instrText>
          </w:r>
          <w:r>
            <w:rPr>
              <w:rFonts w:hint="eastAsia"/>
            </w:rPr>
            <w:fldChar w:fldCharType="separate"/>
          </w:r>
          <w:r>
            <w:rPr>
              <w:rFonts w:hint="eastAsia"/>
            </w:rPr>
            <w:t>2</w:t>
          </w:r>
          <w:r>
            <w:rPr>
              <w:rFonts w:hint="eastAsia"/>
            </w:rPr>
            <w:fldChar w:fldCharType="end"/>
          </w:r>
          <w:r>
            <w:rPr>
              <w:rFonts w:hint="eastAsia"/>
            </w:rPr>
            <w:fldChar w:fldCharType="end"/>
          </w:r>
        </w:p>
        <w:p w14:paraId="3F943AF9">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"_Toc175233323" </w:instrText>
          </w:r>
          <w:r>
            <w:fldChar w:fldCharType="separate"/>
          </w:r>
          <w:r>
            <w:rPr>
              <w:rStyle w:val="40"/>
              <w:rFonts w:hint="eastAsia" w:cs="Times New Roman"/>
            </w:rPr>
            <w:t>1.5</w:t>
          </w:r>
          <w:r>
            <w:rPr>
              <w:rFonts w:hint="eastAsia" w:asciiTheme="minorHAnsi" w:hAnsiTheme="minorHAnsi" w:eastAsiaTheme="minorEastAsia" w:cstheme="minorBidi"/>
              <w:szCs w:val="22"/>
              <w14:ligatures w14:val="standardContextual"/>
            </w:rPr>
            <w:tab/>
          </w:r>
          <w:r>
            <w:rPr>
              <w:rStyle w:val="40"/>
              <w:rFonts w:hint="eastAsia"/>
            </w:rPr>
            <w:t>项目建设内容</w:t>
          </w:r>
          <w:r>
            <w:rPr>
              <w:rFonts w:hint="eastAsia"/>
            </w:rPr>
            <w:tab/>
          </w:r>
          <w:r>
            <w:rPr>
              <w:rFonts w:hint="eastAsia"/>
            </w:rPr>
            <w:fldChar w:fldCharType="begin"/>
          </w:r>
          <w:r>
            <w:rPr>
              <w:rFonts w:hint="eastAsia"/>
            </w:rPr>
            <w:instrText xml:space="preserve"> </w:instrText>
          </w:r>
          <w:r>
            <w:instrText xml:space="preserve">PAGEREF _Toc175233323 \h</w:instrText>
          </w:r>
          <w:r>
            <w:rPr>
              <w:rFonts w:hint="eastAsia"/>
            </w:rPr>
            <w:instrText xml:space="preserve"> </w:instrText>
          </w:r>
          <w:r>
            <w:rPr>
              <w:rFonts w:hint="eastAsia"/>
            </w:rPr>
            <w:fldChar w:fldCharType="separate"/>
          </w:r>
          <w:r>
            <w:rPr>
              <w:rFonts w:hint="eastAsia"/>
            </w:rPr>
            <w:t>2</w:t>
          </w:r>
          <w:r>
            <w:rPr>
              <w:rFonts w:hint="eastAsia"/>
            </w:rPr>
            <w:fldChar w:fldCharType="end"/>
          </w:r>
          <w:r>
            <w:rPr>
              <w:rFonts w:hint="eastAsia"/>
            </w:rPr>
            <w:fldChar w:fldCharType="end"/>
          </w:r>
        </w:p>
        <w:p w14:paraId="34A74118">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"_Toc175233324" </w:instrText>
          </w:r>
          <w:r>
            <w:fldChar w:fldCharType="separate"/>
          </w:r>
          <w:r>
            <w:rPr>
              <w:rStyle w:val="40"/>
              <w:rFonts w:hint="eastAsia" w:cs="Times New Roman"/>
            </w:rPr>
            <w:t>1.6</w:t>
          </w:r>
          <w:r>
            <w:rPr>
              <w:rFonts w:hint="eastAsia" w:asciiTheme="minorHAnsi" w:hAnsiTheme="minorHAnsi" w:eastAsiaTheme="minorEastAsia" w:cstheme="minorBidi"/>
              <w:szCs w:val="22"/>
              <w14:ligatures w14:val="standardContextual"/>
            </w:rPr>
            <w:tab/>
          </w:r>
          <w:r>
            <w:rPr>
              <w:rStyle w:val="40"/>
              <w:rFonts w:hint="eastAsia"/>
            </w:rPr>
            <w:t>项目建设期限与实施地点</w:t>
          </w:r>
          <w:r>
            <w:rPr>
              <w:rFonts w:hint="eastAsia"/>
            </w:rPr>
            <w:tab/>
          </w:r>
          <w:r>
            <w:rPr>
              <w:rFonts w:hint="eastAsia"/>
            </w:rPr>
            <w:fldChar w:fldCharType="begin"/>
          </w:r>
          <w:r>
            <w:rPr>
              <w:rFonts w:hint="eastAsia"/>
            </w:rPr>
            <w:instrText xml:space="preserve"> </w:instrText>
          </w:r>
          <w:r>
            <w:instrText xml:space="preserve">PAGEREF _Toc175233324 \h</w:instrText>
          </w:r>
          <w:r>
            <w:rPr>
              <w:rFonts w:hint="eastAsia"/>
            </w:rPr>
            <w:instrText xml:space="preserve"> </w:instrText>
          </w:r>
          <w:r>
            <w:rPr>
              <w:rFonts w:hint="eastAsia"/>
            </w:rPr>
            <w:fldChar w:fldCharType="separate"/>
          </w:r>
          <w:r>
            <w:rPr>
              <w:rFonts w:hint="eastAsia"/>
            </w:rPr>
            <w:t>2</w:t>
          </w:r>
          <w:r>
            <w:rPr>
              <w:rFonts w:hint="eastAsia"/>
            </w:rPr>
            <w:fldChar w:fldCharType="end"/>
          </w:r>
          <w:r>
            <w:rPr>
              <w:rFonts w:hint="eastAsia"/>
            </w:rPr>
            <w:fldChar w:fldCharType="end"/>
          </w:r>
        </w:p>
        <w:p w14:paraId="0F78F902">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"_Toc175233325" </w:instrText>
          </w:r>
          <w:r>
            <w:fldChar w:fldCharType="separate"/>
          </w:r>
          <w:r>
            <w:rPr>
              <w:rStyle w:val="40"/>
              <w:rFonts w:hint="eastAsia" w:cs="Times New Roman"/>
            </w:rPr>
            <w:t>1.7</w:t>
          </w:r>
          <w:r>
            <w:rPr>
              <w:rFonts w:hint="eastAsia" w:asciiTheme="minorHAnsi" w:hAnsiTheme="minorHAnsi" w:eastAsiaTheme="minorEastAsia" w:cstheme="minorBidi"/>
              <w:szCs w:val="22"/>
              <w14:ligatures w14:val="standardContextual"/>
            </w:rPr>
            <w:tab/>
          </w:r>
          <w:r>
            <w:rPr>
              <w:rStyle w:val="40"/>
              <w:rFonts w:hint="eastAsia"/>
            </w:rPr>
            <w:t>项目资金筹措</w:t>
          </w:r>
          <w:r>
            <w:rPr>
              <w:rFonts w:hint="eastAsia"/>
            </w:rPr>
            <w:tab/>
          </w:r>
          <w:r>
            <w:rPr>
              <w:rFonts w:hint="eastAsia"/>
            </w:rPr>
            <w:fldChar w:fldCharType="begin"/>
          </w:r>
          <w:r>
            <w:rPr>
              <w:rFonts w:hint="eastAsia"/>
            </w:rPr>
            <w:instrText xml:space="preserve"> </w:instrText>
          </w:r>
          <w:r>
            <w:instrText xml:space="preserve">PAGEREF _Toc175233325 \h</w:instrText>
          </w:r>
          <w:r>
            <w:rPr>
              <w:rFonts w:hint="eastAsia"/>
            </w:rPr>
            <w:instrText xml:space="preserve"> </w:instrText>
          </w:r>
          <w:r>
            <w:rPr>
              <w:rFonts w:hint="eastAsia"/>
            </w:rPr>
            <w:fldChar w:fldCharType="separate"/>
          </w:r>
          <w:r>
            <w:rPr>
              <w:rFonts w:hint="eastAsia"/>
            </w:rPr>
            <w:t>2</w:t>
          </w:r>
          <w:r>
            <w:rPr>
              <w:rFonts w:hint="eastAsia"/>
            </w:rPr>
            <w:fldChar w:fldCharType="end"/>
          </w:r>
          <w:r>
            <w:rPr>
              <w:rFonts w:hint="eastAsia"/>
            </w:rPr>
            <w:fldChar w:fldCharType="end"/>
          </w:r>
        </w:p>
        <w:p w14:paraId="2EF5798D">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"_Toc175233326" </w:instrText>
          </w:r>
          <w:r>
            <w:fldChar w:fldCharType="separate"/>
          </w:r>
          <w:r>
            <w:rPr>
              <w:rStyle w:val="40"/>
              <w:rFonts w:hint="eastAsia" w:cs="Times New Roman"/>
            </w:rPr>
            <w:t>1.8</w:t>
          </w:r>
          <w:r>
            <w:rPr>
              <w:rFonts w:hint="eastAsia" w:asciiTheme="minorHAnsi" w:hAnsiTheme="minorHAnsi" w:eastAsiaTheme="minorEastAsia" w:cstheme="minorBidi"/>
              <w:szCs w:val="22"/>
              <w14:ligatures w14:val="standardContextual"/>
            </w:rPr>
            <w:tab/>
          </w:r>
          <w:r>
            <w:rPr>
              <w:rStyle w:val="40"/>
              <w:rFonts w:hint="eastAsia"/>
            </w:rPr>
            <w:t>项目实施效益</w:t>
          </w:r>
          <w:r>
            <w:rPr>
              <w:rFonts w:hint="eastAsia"/>
            </w:rPr>
            <w:tab/>
          </w:r>
          <w:r>
            <w:rPr>
              <w:rFonts w:hint="eastAsia"/>
            </w:rPr>
            <w:fldChar w:fldCharType="begin"/>
          </w:r>
          <w:r>
            <w:rPr>
              <w:rFonts w:hint="eastAsia"/>
            </w:rPr>
            <w:instrText xml:space="preserve"> </w:instrText>
          </w:r>
          <w:r>
            <w:instrText xml:space="preserve">PAGEREF _Toc175233326 \h</w:instrText>
          </w:r>
          <w:r>
            <w:rPr>
              <w:rFonts w:hint="eastAsia"/>
            </w:rPr>
            <w:instrText xml:space="preserve"> </w:instrText>
          </w:r>
          <w:r>
            <w:rPr>
              <w:rFonts w:hint="eastAsia"/>
            </w:rPr>
            <w:fldChar w:fldCharType="separate"/>
          </w:r>
          <w:r>
            <w:rPr>
              <w:rFonts w:hint="eastAsia"/>
            </w:rPr>
            <w:t>2</w:t>
          </w:r>
          <w:r>
            <w:rPr>
              <w:rFonts w:hint="eastAsia"/>
            </w:rPr>
            <w:fldChar w:fldCharType="end"/>
          </w:r>
          <w:r>
            <w:rPr>
              <w:rFonts w:hint="eastAsia"/>
            </w:rPr>
            <w:fldChar w:fldCharType="end"/>
          </w:r>
        </w:p>
        <w:p w14:paraId="1A44D610">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"_Toc175233327" </w:instrText>
          </w:r>
          <w:r>
            <w:fldChar w:fldCharType="separate"/>
          </w:r>
          <w:r>
            <w:rPr>
              <w:rStyle w:val="40"/>
              <w:rFonts w:hint="eastAsia" w:cs="Times New Roman"/>
            </w:rPr>
            <w:t>1.9</w:t>
          </w:r>
          <w:r>
            <w:rPr>
              <w:rFonts w:hint="eastAsia" w:asciiTheme="minorHAnsi" w:hAnsiTheme="minorHAnsi" w:eastAsiaTheme="minorEastAsia" w:cstheme="minorBidi"/>
              <w:szCs w:val="22"/>
              <w14:ligatures w14:val="standardContextual"/>
            </w:rPr>
            <w:tab/>
          </w:r>
          <w:r>
            <w:rPr>
              <w:rStyle w:val="40"/>
              <w:rFonts w:hint="eastAsia"/>
            </w:rPr>
            <w:t>资产权属</w:t>
          </w:r>
          <w:r>
            <w:rPr>
              <w:rFonts w:hint="eastAsia"/>
            </w:rPr>
            <w:tab/>
          </w:r>
          <w:r>
            <w:rPr>
              <w:rFonts w:hint="eastAsia"/>
            </w:rPr>
            <w:fldChar w:fldCharType="begin"/>
          </w:r>
          <w:r>
            <w:rPr>
              <w:rFonts w:hint="eastAsia"/>
            </w:rPr>
            <w:instrText xml:space="preserve"> </w:instrText>
          </w:r>
          <w:r>
            <w:instrText xml:space="preserve">PAGEREF _Toc175233327 \h</w:instrText>
          </w:r>
          <w:r>
            <w:rPr>
              <w:rFonts w:hint="eastAsia"/>
            </w:rPr>
            <w:instrText xml:space="preserve"> </w:instrText>
          </w:r>
          <w:r>
            <w:rPr>
              <w:rFonts w:hint="eastAsia"/>
            </w:rPr>
            <w:fldChar w:fldCharType="separate"/>
          </w:r>
          <w:r>
            <w:rPr>
              <w:rFonts w:hint="eastAsia"/>
            </w:rPr>
            <w:t>2</w:t>
          </w:r>
          <w:r>
            <w:rPr>
              <w:rFonts w:hint="eastAsia"/>
            </w:rPr>
            <w:fldChar w:fldCharType="end"/>
          </w:r>
          <w:r>
            <w:rPr>
              <w:rFonts w:hint="eastAsia"/>
            </w:rPr>
            <w:fldChar w:fldCharType="end"/>
          </w:r>
        </w:p>
        <w:p w14:paraId="5DD4F45C">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"_Toc175233328" </w:instrText>
          </w:r>
          <w:r>
            <w:fldChar w:fldCharType="separate"/>
          </w:r>
          <w:r>
            <w:rPr>
              <w:rStyle w:val="40"/>
              <w:rFonts w:hint="eastAsia" w:cs="Times New Roman"/>
            </w:rPr>
            <w:t>1.10</w:t>
          </w:r>
          <w:r>
            <w:rPr>
              <w:rFonts w:hint="eastAsia" w:asciiTheme="minorHAnsi" w:hAnsiTheme="minorHAnsi" w:eastAsiaTheme="minorEastAsia" w:cstheme="minorBidi"/>
              <w:szCs w:val="22"/>
              <w14:ligatures w14:val="standardContextual"/>
            </w:rPr>
            <w:tab/>
          </w:r>
          <w:r>
            <w:rPr>
              <w:rStyle w:val="40"/>
              <w:rFonts w:hint="eastAsia"/>
            </w:rPr>
            <w:t>结论与建议</w:t>
          </w:r>
          <w:r>
            <w:rPr>
              <w:rFonts w:hint="eastAsia"/>
            </w:rPr>
            <w:tab/>
          </w:r>
          <w:r>
            <w:rPr>
              <w:rFonts w:hint="eastAsia"/>
            </w:rPr>
            <w:fldChar w:fldCharType="begin"/>
          </w:r>
          <w:r>
            <w:rPr>
              <w:rFonts w:hint="eastAsia"/>
            </w:rPr>
            <w:instrText xml:space="preserve"> </w:instrText>
          </w:r>
          <w:r>
            <w:instrText xml:space="preserve">PAGEREF _Toc175233328 \h</w:instrText>
          </w:r>
          <w:r>
            <w:rPr>
              <w:rFonts w:hint="eastAsia"/>
            </w:rPr>
            <w:instrText xml:space="preserve"> </w:instrText>
          </w:r>
          <w:r>
            <w:rPr>
              <w:rFonts w:hint="eastAsia"/>
            </w:rPr>
            <w:fldChar w:fldCharType="separate"/>
          </w:r>
          <w:r>
            <w:rPr>
              <w:rFonts w:hint="eastAsia"/>
            </w:rPr>
            <w:t>3</w:t>
          </w:r>
          <w:r>
            <w:rPr>
              <w:rFonts w:hint="eastAsia"/>
            </w:rPr>
            <w:fldChar w:fldCharType="end"/>
          </w:r>
          <w:r>
            <w:rPr>
              <w:rFonts w:hint="eastAsia"/>
            </w:rPr>
            <w:fldChar w:fldCharType="end"/>
          </w:r>
        </w:p>
        <w:p w14:paraId="4DAF5160">
          <w:pPr>
            <w:pStyle w:val="25"/>
            <w:tabs>
              <w:tab w:val="right" w:leader="dot" w:pos="8296"/>
            </w:tabs>
            <w:rPr>
              <w:rFonts w:hint="eastAsia" w:asciiTheme="minorHAnsi" w:hAnsiTheme="minorHAnsi" w:eastAsiaTheme="minorEastAsia" w:cstheme="minorBidi"/>
              <w:b w:val="0"/>
              <w:sz w:val="21"/>
              <w:szCs w:val="22"/>
              <w14:ligatures w14:val="standardContextual"/>
            </w:rPr>
          </w:pPr>
          <w:r>
            <w:fldChar w:fldCharType="begin"/>
          </w:r>
          <w:r>
            <w:instrText xml:space="preserve"> HYPERLINK \l "_Toc175233329" </w:instrText>
          </w:r>
          <w:r>
            <w:fldChar w:fldCharType="separate"/>
          </w:r>
          <w:r>
            <w:rPr>
              <w:rStyle w:val="40"/>
              <w:rFonts w:hint="eastAsia" w:hAnsi="仿宋"/>
            </w:rPr>
            <w:t>第二章</w:t>
          </w:r>
          <w:r>
            <w:rPr>
              <w:rStyle w:val="40"/>
              <w:rFonts w:hint="eastAsia"/>
            </w:rPr>
            <w:t xml:space="preserve"> 项目建设单位概况</w:t>
          </w:r>
          <w:r>
            <w:rPr>
              <w:rFonts w:hint="eastAsia"/>
            </w:rPr>
            <w:tab/>
          </w:r>
          <w:r>
            <w:rPr>
              <w:rFonts w:hint="eastAsia"/>
            </w:rPr>
            <w:fldChar w:fldCharType="begin"/>
          </w:r>
          <w:r>
            <w:rPr>
              <w:rFonts w:hint="eastAsia"/>
            </w:rPr>
            <w:instrText xml:space="preserve"> </w:instrText>
          </w:r>
          <w:r>
            <w:instrText xml:space="preserve">PAGEREF _Toc175233329 \h</w:instrText>
          </w:r>
          <w:r>
            <w:rPr>
              <w:rFonts w:hint="eastAsia"/>
            </w:rPr>
            <w:instrText xml:space="preserve"> </w:instrText>
          </w:r>
          <w:r>
            <w:rPr>
              <w:rFonts w:hint="eastAsia"/>
            </w:rPr>
            <w:fldChar w:fldCharType="separate"/>
          </w:r>
          <w:r>
            <w:rPr>
              <w:rFonts w:hint="eastAsia"/>
            </w:rPr>
            <w:t>4</w:t>
          </w:r>
          <w:r>
            <w:rPr>
              <w:rFonts w:hint="eastAsia"/>
            </w:rPr>
            <w:fldChar w:fldCharType="end"/>
          </w:r>
          <w:r>
            <w:rPr>
              <w:rFonts w:hint="eastAsia"/>
            </w:rPr>
            <w:fldChar w:fldCharType="end"/>
          </w:r>
        </w:p>
        <w:p w14:paraId="59D1B58D">
          <w:pPr>
            <w:pStyle w:val="25"/>
            <w:tabs>
              <w:tab w:val="right" w:leader="dot" w:pos="8296"/>
            </w:tabs>
            <w:rPr>
              <w:rFonts w:hint="eastAsia" w:asciiTheme="minorHAnsi" w:hAnsiTheme="minorHAnsi" w:eastAsiaTheme="minorEastAsia" w:cstheme="minorBidi"/>
              <w:b w:val="0"/>
              <w:sz w:val="21"/>
              <w:szCs w:val="22"/>
              <w14:ligatures w14:val="standardContextual"/>
            </w:rPr>
          </w:pPr>
          <w:r>
            <w:fldChar w:fldCharType="begin"/>
          </w:r>
          <w:r>
            <w:instrText xml:space="preserve"> HYPERLINK \l "_Toc175233330" </w:instrText>
          </w:r>
          <w:r>
            <w:fldChar w:fldCharType="separate"/>
          </w:r>
          <w:r>
            <w:rPr>
              <w:rStyle w:val="40"/>
              <w:rFonts w:hint="eastAsia" w:hAnsi="仿宋"/>
            </w:rPr>
            <w:t>第三章</w:t>
          </w:r>
          <w:r>
            <w:rPr>
              <w:rStyle w:val="40"/>
              <w:rFonts w:hint="eastAsia"/>
            </w:rPr>
            <w:t xml:space="preserve"> 项目建设必要性和可行性</w:t>
          </w:r>
          <w:r>
            <w:rPr>
              <w:rFonts w:hint="eastAsia"/>
            </w:rPr>
            <w:tab/>
          </w:r>
          <w:r>
            <w:rPr>
              <w:rFonts w:hint="eastAsia"/>
            </w:rPr>
            <w:fldChar w:fldCharType="begin"/>
          </w:r>
          <w:r>
            <w:rPr>
              <w:rFonts w:hint="eastAsia"/>
            </w:rPr>
            <w:instrText xml:space="preserve"> </w:instrText>
          </w:r>
          <w:r>
            <w:instrText xml:space="preserve">PAGEREF _Toc175233330 \h</w:instrText>
          </w:r>
          <w:r>
            <w:rPr>
              <w:rFonts w:hint="eastAsia"/>
            </w:rPr>
            <w:instrText xml:space="preserve"> </w:instrText>
          </w:r>
          <w:r>
            <w:rPr>
              <w:rFonts w:hint="eastAsia"/>
            </w:rPr>
            <w:fldChar w:fldCharType="separate"/>
          </w:r>
          <w:r>
            <w:rPr>
              <w:rFonts w:hint="eastAsia"/>
            </w:rPr>
            <w:t>5</w:t>
          </w:r>
          <w:r>
            <w:rPr>
              <w:rFonts w:hint="eastAsia"/>
            </w:rPr>
            <w:fldChar w:fldCharType="end"/>
          </w:r>
          <w:r>
            <w:rPr>
              <w:rFonts w:hint="eastAsia"/>
            </w:rPr>
            <w:fldChar w:fldCharType="end"/>
          </w:r>
        </w:p>
        <w:p w14:paraId="5D2ECEB8">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"_Toc175233331" </w:instrText>
          </w:r>
          <w:r>
            <w:fldChar w:fldCharType="separate"/>
          </w:r>
          <w:r>
            <w:rPr>
              <w:rStyle w:val="40"/>
              <w:rFonts w:hint="eastAsia" w:cs="Times New Roman"/>
            </w:rPr>
            <w:t>3.1</w:t>
          </w:r>
          <w:r>
            <w:rPr>
              <w:rFonts w:hint="eastAsia" w:asciiTheme="minorHAnsi" w:hAnsiTheme="minorHAnsi" w:eastAsiaTheme="minorEastAsia" w:cstheme="minorBidi"/>
              <w:szCs w:val="22"/>
              <w14:ligatures w14:val="standardContextual"/>
            </w:rPr>
            <w:tab/>
          </w:r>
          <w:r>
            <w:rPr>
              <w:rStyle w:val="40"/>
              <w:rFonts w:hint="eastAsia"/>
            </w:rPr>
            <w:t>项目实施背景</w:t>
          </w:r>
          <w:r>
            <w:rPr>
              <w:rFonts w:hint="eastAsia"/>
            </w:rPr>
            <w:tab/>
          </w:r>
          <w:r>
            <w:rPr>
              <w:rFonts w:hint="eastAsia"/>
            </w:rPr>
            <w:fldChar w:fldCharType="begin"/>
          </w:r>
          <w:r>
            <w:rPr>
              <w:rFonts w:hint="eastAsia"/>
            </w:rPr>
            <w:instrText xml:space="preserve"> </w:instrText>
          </w:r>
          <w:r>
            <w:instrText xml:space="preserve">PAGEREF _Toc175233331 \h</w:instrText>
          </w:r>
          <w:r>
            <w:rPr>
              <w:rFonts w:hint="eastAsia"/>
            </w:rPr>
            <w:instrText xml:space="preserve"> </w:instrText>
          </w:r>
          <w:r>
            <w:rPr>
              <w:rFonts w:hint="eastAsia"/>
            </w:rPr>
            <w:fldChar w:fldCharType="separate"/>
          </w:r>
          <w:r>
            <w:rPr>
              <w:rFonts w:hint="eastAsia"/>
            </w:rPr>
            <w:t>5</w:t>
          </w:r>
          <w:r>
            <w:rPr>
              <w:rFonts w:hint="eastAsia"/>
            </w:rPr>
            <w:fldChar w:fldCharType="end"/>
          </w:r>
          <w:r>
            <w:rPr>
              <w:rFonts w:hint="eastAsia"/>
            </w:rPr>
            <w:fldChar w:fldCharType="end"/>
          </w:r>
        </w:p>
        <w:p w14:paraId="67BD4348">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"_Toc175233332" </w:instrText>
          </w:r>
          <w:r>
            <w:fldChar w:fldCharType="separate"/>
          </w:r>
          <w:r>
            <w:rPr>
              <w:rStyle w:val="40"/>
              <w:rFonts w:hint="eastAsia" w:cs="Times New Roman"/>
            </w:rPr>
            <w:t>3.2</w:t>
          </w:r>
          <w:r>
            <w:rPr>
              <w:rFonts w:hint="eastAsia" w:asciiTheme="minorHAnsi" w:hAnsiTheme="minorHAnsi" w:eastAsiaTheme="minorEastAsia" w:cstheme="minorBidi"/>
              <w:szCs w:val="22"/>
              <w14:ligatures w14:val="standardContextual"/>
            </w:rPr>
            <w:tab/>
          </w:r>
          <w:r>
            <w:rPr>
              <w:rStyle w:val="40"/>
              <w:rFonts w:hint="eastAsia"/>
            </w:rPr>
            <w:t>项目实施必要性</w:t>
          </w:r>
          <w:r>
            <w:rPr>
              <w:rFonts w:hint="eastAsia"/>
            </w:rPr>
            <w:tab/>
          </w:r>
          <w:r>
            <w:rPr>
              <w:rFonts w:hint="eastAsia"/>
            </w:rPr>
            <w:fldChar w:fldCharType="begin"/>
          </w:r>
          <w:r>
            <w:rPr>
              <w:rFonts w:hint="eastAsia"/>
            </w:rPr>
            <w:instrText xml:space="preserve"> </w:instrText>
          </w:r>
          <w:r>
            <w:instrText xml:space="preserve">PAGEREF _Toc175233332 \h</w:instrText>
          </w:r>
          <w:r>
            <w:rPr>
              <w:rFonts w:hint="eastAsia"/>
            </w:rPr>
            <w:instrText xml:space="preserve"> </w:instrText>
          </w:r>
          <w:r>
            <w:rPr>
              <w:rFonts w:hint="eastAsia"/>
            </w:rPr>
            <w:fldChar w:fldCharType="separate"/>
          </w:r>
          <w:r>
            <w:rPr>
              <w:rFonts w:hint="eastAsia"/>
            </w:rPr>
            <w:t>5</w:t>
          </w:r>
          <w:r>
            <w:rPr>
              <w:rFonts w:hint="eastAsia"/>
            </w:rPr>
            <w:fldChar w:fldCharType="end"/>
          </w:r>
          <w:r>
            <w:rPr>
              <w:rFonts w:hint="eastAsia"/>
            </w:rPr>
            <w:fldChar w:fldCharType="end"/>
          </w:r>
        </w:p>
        <w:p w14:paraId="62CB0436">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"_Toc175233333" </w:instrText>
          </w:r>
          <w:r>
            <w:fldChar w:fldCharType="separate"/>
          </w:r>
          <w:r>
            <w:rPr>
              <w:rStyle w:val="40"/>
              <w:rFonts w:hint="eastAsia" w:cs="Times New Roman"/>
            </w:rPr>
            <w:t>3.3</w:t>
          </w:r>
          <w:r>
            <w:rPr>
              <w:rFonts w:hint="eastAsia" w:asciiTheme="minorHAnsi" w:hAnsiTheme="minorHAnsi" w:eastAsiaTheme="minorEastAsia" w:cstheme="minorBidi"/>
              <w:szCs w:val="22"/>
              <w14:ligatures w14:val="standardContextual"/>
            </w:rPr>
            <w:tab/>
          </w:r>
          <w:r>
            <w:rPr>
              <w:rStyle w:val="40"/>
              <w:rFonts w:hint="eastAsia"/>
            </w:rPr>
            <w:t>项目实施可行性</w:t>
          </w:r>
          <w:r>
            <w:rPr>
              <w:rFonts w:hint="eastAsia"/>
            </w:rPr>
            <w:tab/>
          </w:r>
          <w:r>
            <w:rPr>
              <w:rFonts w:hint="eastAsia"/>
            </w:rPr>
            <w:fldChar w:fldCharType="begin"/>
          </w:r>
          <w:r>
            <w:rPr>
              <w:rFonts w:hint="eastAsia"/>
            </w:rPr>
            <w:instrText xml:space="preserve"> </w:instrText>
          </w:r>
          <w:r>
            <w:instrText xml:space="preserve">PAGEREF _Toc175233333 \h</w:instrText>
          </w:r>
          <w:r>
            <w:rPr>
              <w:rFonts w:hint="eastAsia"/>
            </w:rPr>
            <w:instrText xml:space="preserve"> </w:instrText>
          </w:r>
          <w:r>
            <w:rPr>
              <w:rFonts w:hint="eastAsia"/>
            </w:rPr>
            <w:fldChar w:fldCharType="separate"/>
          </w:r>
          <w:r>
            <w:rPr>
              <w:rFonts w:hint="eastAsia"/>
            </w:rPr>
            <w:t>6</w:t>
          </w:r>
          <w:r>
            <w:rPr>
              <w:rFonts w:hint="eastAsia"/>
            </w:rPr>
            <w:fldChar w:fldCharType="end"/>
          </w:r>
          <w:r>
            <w:rPr>
              <w:rFonts w:hint="eastAsia"/>
            </w:rPr>
            <w:fldChar w:fldCharType="end"/>
          </w:r>
        </w:p>
        <w:p w14:paraId="216D6A67">
          <w:pPr>
            <w:pStyle w:val="25"/>
            <w:tabs>
              <w:tab w:val="right" w:leader="dot" w:pos="8296"/>
            </w:tabs>
            <w:rPr>
              <w:rFonts w:hint="eastAsia" w:asciiTheme="minorHAnsi" w:hAnsiTheme="minorHAnsi" w:eastAsiaTheme="minorEastAsia" w:cstheme="minorBidi"/>
              <w:b w:val="0"/>
              <w:sz w:val="21"/>
              <w:szCs w:val="22"/>
              <w14:ligatures w14:val="standardContextual"/>
            </w:rPr>
          </w:pPr>
          <w:r>
            <w:fldChar w:fldCharType="begin"/>
          </w:r>
          <w:r>
            <w:instrText xml:space="preserve"> HYPERLINK \l "_Toc175233334" </w:instrText>
          </w:r>
          <w:r>
            <w:fldChar w:fldCharType="separate"/>
          </w:r>
          <w:r>
            <w:rPr>
              <w:rStyle w:val="40"/>
              <w:rFonts w:hint="eastAsia" w:hAnsi="仿宋"/>
            </w:rPr>
            <w:t>第四章</w:t>
          </w:r>
          <w:r>
            <w:rPr>
              <w:rStyle w:val="40"/>
              <w:rFonts w:hint="eastAsia"/>
            </w:rPr>
            <w:t xml:space="preserve"> 项目需求分析</w:t>
          </w:r>
          <w:r>
            <w:rPr>
              <w:rFonts w:hint="eastAsia"/>
            </w:rPr>
            <w:tab/>
          </w:r>
          <w:r>
            <w:rPr>
              <w:rFonts w:hint="eastAsia"/>
            </w:rPr>
            <w:fldChar w:fldCharType="begin"/>
          </w:r>
          <w:r>
            <w:rPr>
              <w:rFonts w:hint="eastAsia"/>
            </w:rPr>
            <w:instrText xml:space="preserve"> </w:instrText>
          </w:r>
          <w:r>
            <w:instrText xml:space="preserve">PAGEREF _Toc175233334 \h</w:instrText>
          </w:r>
          <w:r>
            <w:rPr>
              <w:rFonts w:hint="eastAsia"/>
            </w:rPr>
            <w:instrText xml:space="preserve"> </w:instrText>
          </w:r>
          <w:r>
            <w:rPr>
              <w:rFonts w:hint="eastAsia"/>
            </w:rPr>
            <w:fldChar w:fldCharType="separate"/>
          </w:r>
          <w:r>
            <w:rPr>
              <w:rFonts w:hint="eastAsia"/>
            </w:rPr>
            <w:t>7</w:t>
          </w:r>
          <w:r>
            <w:rPr>
              <w:rFonts w:hint="eastAsia"/>
            </w:rPr>
            <w:fldChar w:fldCharType="end"/>
          </w:r>
          <w:r>
            <w:rPr>
              <w:rFonts w:hint="eastAsia"/>
            </w:rPr>
            <w:fldChar w:fldCharType="end"/>
          </w:r>
        </w:p>
        <w:p w14:paraId="7D97C2A3">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"_Toc175233335" </w:instrText>
          </w:r>
          <w:r>
            <w:fldChar w:fldCharType="separate"/>
          </w:r>
          <w:r>
            <w:rPr>
              <w:rStyle w:val="40"/>
              <w:rFonts w:hint="eastAsia" w:cs="Times New Roman"/>
            </w:rPr>
            <w:t>4.1</w:t>
          </w:r>
          <w:r>
            <w:rPr>
              <w:rFonts w:hint="eastAsia" w:asciiTheme="minorHAnsi" w:hAnsiTheme="minorHAnsi" w:eastAsiaTheme="minorEastAsia" w:cstheme="minorBidi"/>
              <w:szCs w:val="22"/>
              <w14:ligatures w14:val="standardContextual"/>
            </w:rPr>
            <w:tab/>
          </w:r>
          <w:r>
            <w:rPr>
              <w:rStyle w:val="40"/>
              <w:rFonts w:hint="eastAsia"/>
            </w:rPr>
            <w:t>工程概况</w:t>
          </w:r>
          <w:r>
            <w:rPr>
              <w:rFonts w:hint="eastAsia"/>
            </w:rPr>
            <w:tab/>
          </w:r>
          <w:r>
            <w:rPr>
              <w:rFonts w:hint="eastAsia"/>
            </w:rPr>
            <w:fldChar w:fldCharType="begin"/>
          </w:r>
          <w:r>
            <w:rPr>
              <w:rFonts w:hint="eastAsia"/>
            </w:rPr>
            <w:instrText xml:space="preserve"> </w:instrText>
          </w:r>
          <w:r>
            <w:instrText xml:space="preserve">PAGEREF _Toc175233335 \h</w:instrText>
          </w:r>
          <w:r>
            <w:rPr>
              <w:rFonts w:hint="eastAsia"/>
            </w:rPr>
            <w:instrText xml:space="preserve"> </w:instrText>
          </w:r>
          <w:r>
            <w:rPr>
              <w:rFonts w:hint="eastAsia"/>
            </w:rPr>
            <w:fldChar w:fldCharType="separate"/>
          </w:r>
          <w:r>
            <w:rPr>
              <w:rFonts w:hint="eastAsia"/>
            </w:rPr>
            <w:t>7</w:t>
          </w:r>
          <w:r>
            <w:rPr>
              <w:rFonts w:hint="eastAsia"/>
            </w:rPr>
            <w:fldChar w:fldCharType="end"/>
          </w:r>
          <w:r>
            <w:rPr>
              <w:rFonts w:hint="eastAsia"/>
            </w:rPr>
            <w:fldChar w:fldCharType="end"/>
          </w:r>
        </w:p>
        <w:p w14:paraId="4212E385">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"_Toc175233336" </w:instrText>
          </w:r>
          <w:r>
            <w:fldChar w:fldCharType="separate"/>
          </w:r>
          <w:r>
            <w:rPr>
              <w:rStyle w:val="40"/>
              <w:rFonts w:hint="eastAsia" w:cs="Times New Roman"/>
            </w:rPr>
            <w:t>4.1.1</w:t>
          </w:r>
          <w:r>
            <w:rPr>
              <w:rFonts w:hint="eastAsia" w:asciiTheme="minorHAnsi" w:hAnsiTheme="minorHAnsi" w:eastAsiaTheme="minorEastAsia" w:cstheme="minorBidi"/>
              <w:sz w:val="21"/>
              <w:szCs w:val="22"/>
              <w14:ligatures w14:val="standardContextual"/>
            </w:rPr>
            <w:tab/>
          </w:r>
          <w:r>
            <w:rPr>
              <w:rStyle w:val="40"/>
              <w:rFonts w:hint="eastAsia"/>
            </w:rPr>
            <w:t>水文及水源概况</w:t>
          </w:r>
          <w:r>
            <w:rPr>
              <w:rFonts w:hint="eastAsia"/>
            </w:rPr>
            <w:tab/>
          </w:r>
          <w:r>
            <w:rPr>
              <w:rFonts w:hint="eastAsia"/>
            </w:rPr>
            <w:fldChar w:fldCharType="begin"/>
          </w:r>
          <w:r>
            <w:rPr>
              <w:rFonts w:hint="eastAsia"/>
            </w:rPr>
            <w:instrText xml:space="preserve"> </w:instrText>
          </w:r>
          <w:r>
            <w:instrText xml:space="preserve">PAGEREF _Toc175233336 \h</w:instrText>
          </w:r>
          <w:r>
            <w:rPr>
              <w:rFonts w:hint="eastAsia"/>
            </w:rPr>
            <w:instrText xml:space="preserve"> </w:instrText>
          </w:r>
          <w:r>
            <w:rPr>
              <w:rFonts w:hint="eastAsia"/>
            </w:rPr>
            <w:fldChar w:fldCharType="separate"/>
          </w:r>
          <w:r>
            <w:rPr>
              <w:rFonts w:hint="eastAsia"/>
            </w:rPr>
            <w:t>7</w:t>
          </w:r>
          <w:r>
            <w:rPr>
              <w:rFonts w:hint="eastAsia"/>
            </w:rPr>
            <w:fldChar w:fldCharType="end"/>
          </w:r>
          <w:r>
            <w:rPr>
              <w:rFonts w:hint="eastAsia"/>
            </w:rPr>
            <w:fldChar w:fldCharType="end"/>
          </w:r>
        </w:p>
        <w:p w14:paraId="69AF4C57">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"_Toc175233337" </w:instrText>
          </w:r>
          <w:r>
            <w:fldChar w:fldCharType="separate"/>
          </w:r>
          <w:r>
            <w:rPr>
              <w:rStyle w:val="40"/>
              <w:rFonts w:hint="eastAsia" w:cs="Times New Roman"/>
            </w:rPr>
            <w:t>4.1.2</w:t>
          </w:r>
          <w:r>
            <w:rPr>
              <w:rFonts w:hint="eastAsia" w:asciiTheme="minorHAnsi" w:hAnsiTheme="minorHAnsi" w:eastAsiaTheme="minorEastAsia" w:cstheme="minorBidi"/>
              <w:sz w:val="21"/>
              <w:szCs w:val="22"/>
              <w14:ligatures w14:val="standardContextual"/>
            </w:rPr>
            <w:tab/>
          </w:r>
          <w:r>
            <w:rPr>
              <w:rStyle w:val="40"/>
              <w:rFonts w:hint="eastAsia"/>
            </w:rPr>
            <w:t>工程地质概况</w:t>
          </w:r>
          <w:r>
            <w:rPr>
              <w:rFonts w:hint="eastAsia"/>
            </w:rPr>
            <w:tab/>
          </w:r>
          <w:r>
            <w:rPr>
              <w:rFonts w:hint="eastAsia"/>
            </w:rPr>
            <w:fldChar w:fldCharType="begin"/>
          </w:r>
          <w:r>
            <w:rPr>
              <w:rFonts w:hint="eastAsia"/>
            </w:rPr>
            <w:instrText xml:space="preserve"> </w:instrText>
          </w:r>
          <w:r>
            <w:instrText xml:space="preserve">PAGEREF _Toc175233337 \h</w:instrText>
          </w:r>
          <w:r>
            <w:rPr>
              <w:rFonts w:hint="eastAsia"/>
            </w:rPr>
            <w:instrText xml:space="preserve"> </w:instrText>
          </w:r>
          <w:r>
            <w:rPr>
              <w:rFonts w:hint="eastAsia"/>
            </w:rPr>
            <w:fldChar w:fldCharType="separate"/>
          </w:r>
          <w:r>
            <w:rPr>
              <w:rFonts w:hint="eastAsia"/>
            </w:rPr>
            <w:t>7</w:t>
          </w:r>
          <w:r>
            <w:rPr>
              <w:rFonts w:hint="eastAsia"/>
            </w:rPr>
            <w:fldChar w:fldCharType="end"/>
          </w:r>
          <w:r>
            <w:rPr>
              <w:rFonts w:hint="eastAsia"/>
            </w:rPr>
            <w:fldChar w:fldCharType="end"/>
          </w:r>
        </w:p>
        <w:p w14:paraId="05109C72">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"_Toc175233338" </w:instrText>
          </w:r>
          <w:r>
            <w:fldChar w:fldCharType="separate"/>
          </w:r>
          <w:r>
            <w:rPr>
              <w:rStyle w:val="40"/>
              <w:rFonts w:hint="eastAsia" w:cs="Times New Roman"/>
            </w:rPr>
            <w:t>4.2</w:t>
          </w:r>
          <w:r>
            <w:rPr>
              <w:rFonts w:hint="eastAsia" w:asciiTheme="minorHAnsi" w:hAnsiTheme="minorHAnsi" w:eastAsiaTheme="minorEastAsia" w:cstheme="minorBidi"/>
              <w:szCs w:val="22"/>
              <w14:ligatures w14:val="standardContextual"/>
            </w:rPr>
            <w:tab/>
          </w:r>
          <w:r>
            <w:rPr>
              <w:rStyle w:val="40"/>
              <w:rFonts w:hint="eastAsia"/>
            </w:rPr>
            <w:t>业务需求分析</w:t>
          </w:r>
          <w:r>
            <w:rPr>
              <w:rFonts w:hint="eastAsia"/>
            </w:rPr>
            <w:tab/>
          </w:r>
          <w:r>
            <w:rPr>
              <w:rFonts w:hint="eastAsia"/>
            </w:rPr>
            <w:fldChar w:fldCharType="begin"/>
          </w:r>
          <w:r>
            <w:rPr>
              <w:rFonts w:hint="eastAsia"/>
            </w:rPr>
            <w:instrText xml:space="preserve"> </w:instrText>
          </w:r>
          <w:r>
            <w:instrText xml:space="preserve">PAGEREF _Toc175233338 \h</w:instrText>
          </w:r>
          <w:r>
            <w:rPr>
              <w:rFonts w:hint="eastAsia"/>
            </w:rPr>
            <w:instrText xml:space="preserve"> </w:instrText>
          </w:r>
          <w:r>
            <w:rPr>
              <w:rFonts w:hint="eastAsia"/>
            </w:rPr>
            <w:fldChar w:fldCharType="separate"/>
          </w:r>
          <w:r>
            <w:rPr>
              <w:rFonts w:hint="eastAsia"/>
            </w:rPr>
            <w:t>7</w:t>
          </w:r>
          <w:r>
            <w:rPr>
              <w:rFonts w:hint="eastAsia"/>
            </w:rPr>
            <w:fldChar w:fldCharType="end"/>
          </w:r>
          <w:r>
            <w:rPr>
              <w:rFonts w:hint="eastAsia"/>
            </w:rPr>
            <w:fldChar w:fldCharType="end"/>
          </w:r>
        </w:p>
        <w:p w14:paraId="694E7809">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"_Toc175233339" </w:instrText>
          </w:r>
          <w:r>
            <w:fldChar w:fldCharType="separate"/>
          </w:r>
          <w:r>
            <w:rPr>
              <w:rStyle w:val="40"/>
              <w:rFonts w:hint="eastAsia" w:cs="Times New Roman"/>
            </w:rPr>
            <w:t>4.2.1</w:t>
          </w:r>
          <w:r>
            <w:rPr>
              <w:rFonts w:hint="eastAsia" w:asciiTheme="minorHAnsi" w:hAnsiTheme="minorHAnsi" w:eastAsiaTheme="minorEastAsia" w:cstheme="minorBidi"/>
              <w:sz w:val="21"/>
              <w:szCs w:val="22"/>
              <w14:ligatures w14:val="standardContextual"/>
            </w:rPr>
            <w:tab/>
          </w:r>
          <w:r>
            <w:rPr>
              <w:rStyle w:val="40"/>
              <w:rFonts w:hint="eastAsia"/>
            </w:rPr>
            <w:t>水源地水质净化</w:t>
          </w:r>
          <w:r>
            <w:rPr>
              <w:rFonts w:hint="eastAsia"/>
            </w:rPr>
            <w:tab/>
          </w:r>
          <w:r>
            <w:rPr>
              <w:rFonts w:hint="eastAsia"/>
            </w:rPr>
            <w:fldChar w:fldCharType="begin"/>
          </w:r>
          <w:r>
            <w:rPr>
              <w:rFonts w:hint="eastAsia"/>
            </w:rPr>
            <w:instrText xml:space="preserve"> </w:instrText>
          </w:r>
          <w:r>
            <w:instrText xml:space="preserve">PAGEREF _Toc175233339 \h</w:instrText>
          </w:r>
          <w:r>
            <w:rPr>
              <w:rFonts w:hint="eastAsia"/>
            </w:rPr>
            <w:instrText xml:space="preserve"> </w:instrText>
          </w:r>
          <w:r>
            <w:rPr>
              <w:rFonts w:hint="eastAsia"/>
            </w:rPr>
            <w:fldChar w:fldCharType="separate"/>
          </w:r>
          <w:r>
            <w:rPr>
              <w:rFonts w:hint="eastAsia"/>
            </w:rPr>
            <w:t>7</w:t>
          </w:r>
          <w:r>
            <w:rPr>
              <w:rFonts w:hint="eastAsia"/>
            </w:rPr>
            <w:fldChar w:fldCharType="end"/>
          </w:r>
          <w:r>
            <w:rPr>
              <w:rFonts w:hint="eastAsia"/>
            </w:rPr>
            <w:fldChar w:fldCharType="end"/>
          </w:r>
        </w:p>
        <w:p w14:paraId="025FDB13">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"_Toc175233340" </w:instrText>
          </w:r>
          <w:r>
            <w:fldChar w:fldCharType="separate"/>
          </w:r>
          <w:r>
            <w:rPr>
              <w:rStyle w:val="40"/>
              <w:rFonts w:hint="eastAsia" w:cs="Times New Roman"/>
            </w:rPr>
            <w:t>4.2.2</w:t>
          </w:r>
          <w:r>
            <w:rPr>
              <w:rFonts w:hint="eastAsia" w:asciiTheme="minorHAnsi" w:hAnsiTheme="minorHAnsi" w:eastAsiaTheme="minorEastAsia" w:cstheme="minorBidi"/>
              <w:sz w:val="21"/>
              <w:szCs w:val="22"/>
              <w14:ligatures w14:val="standardContextual"/>
            </w:rPr>
            <w:tab/>
          </w:r>
          <w:r>
            <w:rPr>
              <w:rStyle w:val="40"/>
              <w:rFonts w:hint="eastAsia"/>
            </w:rPr>
            <w:t>水源地水质在线监测及视频联动报警</w:t>
          </w:r>
          <w:r>
            <w:rPr>
              <w:rFonts w:hint="eastAsia"/>
            </w:rPr>
            <w:tab/>
          </w:r>
          <w:r>
            <w:rPr>
              <w:rFonts w:hint="eastAsia"/>
            </w:rPr>
            <w:fldChar w:fldCharType="begin"/>
          </w:r>
          <w:r>
            <w:rPr>
              <w:rFonts w:hint="eastAsia"/>
            </w:rPr>
            <w:instrText xml:space="preserve"> </w:instrText>
          </w:r>
          <w:r>
            <w:instrText xml:space="preserve">PAGEREF _Toc175233340 \h</w:instrText>
          </w:r>
          <w:r>
            <w:rPr>
              <w:rFonts w:hint="eastAsia"/>
            </w:rPr>
            <w:instrText xml:space="preserve"> </w:instrText>
          </w:r>
          <w:r>
            <w:rPr>
              <w:rFonts w:hint="eastAsia"/>
            </w:rPr>
            <w:fldChar w:fldCharType="separate"/>
          </w:r>
          <w:r>
            <w:rPr>
              <w:rFonts w:hint="eastAsia"/>
            </w:rPr>
            <w:t>8</w:t>
          </w:r>
          <w:r>
            <w:rPr>
              <w:rFonts w:hint="eastAsia"/>
            </w:rPr>
            <w:fldChar w:fldCharType="end"/>
          </w:r>
          <w:r>
            <w:rPr>
              <w:rFonts w:hint="eastAsia"/>
            </w:rPr>
            <w:fldChar w:fldCharType="end"/>
          </w:r>
        </w:p>
        <w:p w14:paraId="3264074C">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"_Toc175233341" </w:instrText>
          </w:r>
          <w:r>
            <w:fldChar w:fldCharType="separate"/>
          </w:r>
          <w:r>
            <w:rPr>
              <w:rStyle w:val="40"/>
              <w:rFonts w:hint="eastAsia" w:cs="Times New Roman"/>
            </w:rPr>
            <w:t>4.2.3</w:t>
          </w:r>
          <w:r>
            <w:rPr>
              <w:rFonts w:hint="eastAsia" w:asciiTheme="minorHAnsi" w:hAnsiTheme="minorHAnsi" w:eastAsiaTheme="minorEastAsia" w:cstheme="minorBidi"/>
              <w:sz w:val="21"/>
              <w:szCs w:val="22"/>
              <w14:ligatures w14:val="standardContextual"/>
            </w:rPr>
            <w:tab/>
          </w:r>
          <w:r>
            <w:rPr>
              <w:rStyle w:val="40"/>
              <w:rFonts w:hint="eastAsia"/>
            </w:rPr>
            <w:t>水源地视频监控及算法自动报警</w:t>
          </w:r>
          <w:r>
            <w:rPr>
              <w:rFonts w:hint="eastAsia"/>
            </w:rPr>
            <w:tab/>
          </w:r>
          <w:r>
            <w:rPr>
              <w:rFonts w:hint="eastAsia"/>
            </w:rPr>
            <w:fldChar w:fldCharType="begin"/>
          </w:r>
          <w:r>
            <w:rPr>
              <w:rFonts w:hint="eastAsia"/>
            </w:rPr>
            <w:instrText xml:space="preserve"> </w:instrText>
          </w:r>
          <w:r>
            <w:instrText xml:space="preserve">PAGEREF _Toc175233341 \h</w:instrText>
          </w:r>
          <w:r>
            <w:rPr>
              <w:rFonts w:hint="eastAsia"/>
            </w:rPr>
            <w:instrText xml:space="preserve"> </w:instrText>
          </w:r>
          <w:r>
            <w:rPr>
              <w:rFonts w:hint="eastAsia"/>
            </w:rPr>
            <w:fldChar w:fldCharType="separate"/>
          </w:r>
          <w:r>
            <w:rPr>
              <w:rFonts w:hint="eastAsia"/>
            </w:rPr>
            <w:t>8</w:t>
          </w:r>
          <w:r>
            <w:rPr>
              <w:rFonts w:hint="eastAsia"/>
            </w:rPr>
            <w:fldChar w:fldCharType="end"/>
          </w:r>
          <w:r>
            <w:rPr>
              <w:rFonts w:hint="eastAsia"/>
            </w:rPr>
            <w:fldChar w:fldCharType="end"/>
          </w:r>
        </w:p>
        <w:p w14:paraId="4278CC92">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"_Toc175233342" </w:instrText>
          </w:r>
          <w:r>
            <w:fldChar w:fldCharType="separate"/>
          </w:r>
          <w:r>
            <w:rPr>
              <w:rStyle w:val="40"/>
              <w:rFonts w:hint="eastAsia" w:cs="Times New Roman"/>
            </w:rPr>
            <w:t>4.2.4</w:t>
          </w:r>
          <w:r>
            <w:rPr>
              <w:rFonts w:hint="eastAsia" w:asciiTheme="minorHAnsi" w:hAnsiTheme="minorHAnsi" w:eastAsiaTheme="minorEastAsia" w:cstheme="minorBidi"/>
              <w:sz w:val="21"/>
              <w:szCs w:val="22"/>
              <w14:ligatures w14:val="standardContextual"/>
            </w:rPr>
            <w:tab/>
          </w:r>
          <w:r>
            <w:rPr>
              <w:rStyle w:val="40"/>
              <w:rFonts w:hint="eastAsia"/>
            </w:rPr>
            <w:t>配套工程软件系统</w:t>
          </w:r>
          <w:r>
            <w:rPr>
              <w:rFonts w:hint="eastAsia"/>
            </w:rPr>
            <w:tab/>
          </w:r>
          <w:r>
            <w:rPr>
              <w:rFonts w:hint="eastAsia"/>
            </w:rPr>
            <w:fldChar w:fldCharType="begin"/>
          </w:r>
          <w:r>
            <w:rPr>
              <w:rFonts w:hint="eastAsia"/>
            </w:rPr>
            <w:instrText xml:space="preserve"> </w:instrText>
          </w:r>
          <w:r>
            <w:instrText xml:space="preserve">PAGEREF _Toc175233342 \h</w:instrText>
          </w:r>
          <w:r>
            <w:rPr>
              <w:rFonts w:hint="eastAsia"/>
            </w:rPr>
            <w:instrText xml:space="preserve"> </w:instrText>
          </w:r>
          <w:r>
            <w:rPr>
              <w:rFonts w:hint="eastAsia"/>
            </w:rPr>
            <w:fldChar w:fldCharType="separate"/>
          </w:r>
          <w:r>
            <w:rPr>
              <w:rFonts w:hint="eastAsia"/>
            </w:rPr>
            <w:t>8</w:t>
          </w:r>
          <w:r>
            <w:rPr>
              <w:rFonts w:hint="eastAsia"/>
            </w:rPr>
            <w:fldChar w:fldCharType="end"/>
          </w:r>
          <w:r>
            <w:rPr>
              <w:rFonts w:hint="eastAsia"/>
            </w:rPr>
            <w:fldChar w:fldCharType="end"/>
          </w:r>
        </w:p>
        <w:p w14:paraId="2F4CE557">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"_Toc175233343" </w:instrText>
          </w:r>
          <w:r>
            <w:fldChar w:fldCharType="separate"/>
          </w:r>
          <w:r>
            <w:rPr>
              <w:rStyle w:val="40"/>
              <w:rFonts w:hint="eastAsia" w:cs="Times New Roman"/>
            </w:rPr>
            <w:t>4.3</w:t>
          </w:r>
          <w:r>
            <w:rPr>
              <w:rFonts w:hint="eastAsia" w:asciiTheme="minorHAnsi" w:hAnsiTheme="minorHAnsi" w:eastAsiaTheme="minorEastAsia" w:cstheme="minorBidi"/>
              <w:szCs w:val="22"/>
              <w14:ligatures w14:val="standardContextual"/>
            </w:rPr>
            <w:tab/>
          </w:r>
          <w:r>
            <w:rPr>
              <w:rStyle w:val="40"/>
              <w:rFonts w:hint="eastAsia"/>
            </w:rPr>
            <w:t>安全需求分析</w:t>
          </w:r>
          <w:r>
            <w:rPr>
              <w:rFonts w:hint="eastAsia"/>
            </w:rPr>
            <w:tab/>
          </w:r>
          <w:r>
            <w:rPr>
              <w:rFonts w:hint="eastAsia"/>
            </w:rPr>
            <w:fldChar w:fldCharType="begin"/>
          </w:r>
          <w:r>
            <w:rPr>
              <w:rFonts w:hint="eastAsia"/>
            </w:rPr>
            <w:instrText xml:space="preserve"> </w:instrText>
          </w:r>
          <w:r>
            <w:instrText xml:space="preserve">PAGEREF _Toc175233343 \h</w:instrText>
          </w:r>
          <w:r>
            <w:rPr>
              <w:rFonts w:hint="eastAsia"/>
            </w:rPr>
            <w:instrText xml:space="preserve"> </w:instrText>
          </w:r>
          <w:r>
            <w:rPr>
              <w:rFonts w:hint="eastAsia"/>
            </w:rPr>
            <w:fldChar w:fldCharType="separate"/>
          </w:r>
          <w:r>
            <w:rPr>
              <w:rFonts w:hint="eastAsia"/>
            </w:rPr>
            <w:t>8</w:t>
          </w:r>
          <w:r>
            <w:rPr>
              <w:rFonts w:hint="eastAsia"/>
            </w:rPr>
            <w:fldChar w:fldCharType="end"/>
          </w:r>
          <w:r>
            <w:rPr>
              <w:rFonts w:hint="eastAsia"/>
            </w:rPr>
            <w:fldChar w:fldCharType="end"/>
          </w:r>
        </w:p>
        <w:p w14:paraId="34070E74">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"_Toc175233344" </w:instrText>
          </w:r>
          <w:r>
            <w:fldChar w:fldCharType="separate"/>
          </w:r>
          <w:r>
            <w:rPr>
              <w:rStyle w:val="40"/>
              <w:rFonts w:hint="eastAsia" w:cs="Times New Roman"/>
            </w:rPr>
            <w:t>4.3.1</w:t>
          </w:r>
          <w:r>
            <w:rPr>
              <w:rFonts w:hint="eastAsia" w:asciiTheme="minorHAnsi" w:hAnsiTheme="minorHAnsi" w:eastAsiaTheme="minorEastAsia" w:cstheme="minorBidi"/>
              <w:sz w:val="21"/>
              <w:szCs w:val="22"/>
              <w14:ligatures w14:val="standardContextual"/>
            </w:rPr>
            <w:tab/>
          </w:r>
          <w:r>
            <w:rPr>
              <w:rStyle w:val="40"/>
              <w:rFonts w:hint="eastAsia"/>
            </w:rPr>
            <w:t>应用安全功能</w:t>
          </w:r>
          <w:r>
            <w:rPr>
              <w:rFonts w:hint="eastAsia"/>
            </w:rPr>
            <w:tab/>
          </w:r>
          <w:r>
            <w:rPr>
              <w:rFonts w:hint="eastAsia"/>
            </w:rPr>
            <w:fldChar w:fldCharType="begin"/>
          </w:r>
          <w:r>
            <w:rPr>
              <w:rFonts w:hint="eastAsia"/>
            </w:rPr>
            <w:instrText xml:space="preserve"> </w:instrText>
          </w:r>
          <w:r>
            <w:instrText xml:space="preserve">PAGEREF _Toc175233344 \h</w:instrText>
          </w:r>
          <w:r>
            <w:rPr>
              <w:rFonts w:hint="eastAsia"/>
            </w:rPr>
            <w:instrText xml:space="preserve"> </w:instrText>
          </w:r>
          <w:r>
            <w:rPr>
              <w:rFonts w:hint="eastAsia"/>
            </w:rPr>
            <w:fldChar w:fldCharType="separate"/>
          </w:r>
          <w:r>
            <w:rPr>
              <w:rFonts w:hint="eastAsia"/>
            </w:rPr>
            <w:t>9</w:t>
          </w:r>
          <w:r>
            <w:rPr>
              <w:rFonts w:hint="eastAsia"/>
            </w:rPr>
            <w:fldChar w:fldCharType="end"/>
          </w:r>
          <w:r>
            <w:rPr>
              <w:rFonts w:hint="eastAsia"/>
            </w:rPr>
            <w:fldChar w:fldCharType="end"/>
          </w:r>
        </w:p>
        <w:p w14:paraId="0DC2356F">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"_Toc175233345" </w:instrText>
          </w:r>
          <w:r>
            <w:fldChar w:fldCharType="separate"/>
          </w:r>
          <w:r>
            <w:rPr>
              <w:rStyle w:val="40"/>
              <w:rFonts w:hint="eastAsia" w:cs="Times New Roman"/>
            </w:rPr>
            <w:t>4.3.2</w:t>
          </w:r>
          <w:r>
            <w:rPr>
              <w:rFonts w:hint="eastAsia" w:asciiTheme="minorHAnsi" w:hAnsiTheme="minorHAnsi" w:eastAsiaTheme="minorEastAsia" w:cstheme="minorBidi"/>
              <w:sz w:val="21"/>
              <w:szCs w:val="22"/>
              <w14:ligatures w14:val="standardContextual"/>
            </w:rPr>
            <w:tab/>
          </w:r>
          <w:r>
            <w:rPr>
              <w:rStyle w:val="40"/>
              <w:rFonts w:hint="eastAsia"/>
            </w:rPr>
            <w:t>数据安全</w:t>
          </w:r>
          <w:r>
            <w:rPr>
              <w:rFonts w:hint="eastAsia"/>
            </w:rPr>
            <w:tab/>
          </w:r>
          <w:r>
            <w:rPr>
              <w:rFonts w:hint="eastAsia"/>
            </w:rPr>
            <w:fldChar w:fldCharType="begin"/>
          </w:r>
          <w:r>
            <w:rPr>
              <w:rFonts w:hint="eastAsia"/>
            </w:rPr>
            <w:instrText xml:space="preserve"> </w:instrText>
          </w:r>
          <w:r>
            <w:instrText xml:space="preserve">PAGEREF _Toc175233345 \h</w:instrText>
          </w:r>
          <w:r>
            <w:rPr>
              <w:rFonts w:hint="eastAsia"/>
            </w:rPr>
            <w:instrText xml:space="preserve"> </w:instrText>
          </w:r>
          <w:r>
            <w:rPr>
              <w:rFonts w:hint="eastAsia"/>
            </w:rPr>
            <w:fldChar w:fldCharType="separate"/>
          </w:r>
          <w:r>
            <w:rPr>
              <w:rFonts w:hint="eastAsia"/>
            </w:rPr>
            <w:t>9</w:t>
          </w:r>
          <w:r>
            <w:rPr>
              <w:rFonts w:hint="eastAsia"/>
            </w:rPr>
            <w:fldChar w:fldCharType="end"/>
          </w:r>
          <w:r>
            <w:rPr>
              <w:rFonts w:hint="eastAsia"/>
            </w:rPr>
            <w:fldChar w:fldCharType="end"/>
          </w:r>
        </w:p>
        <w:p w14:paraId="6E88AD20">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"_Toc175233346" </w:instrText>
          </w:r>
          <w:r>
            <w:fldChar w:fldCharType="separate"/>
          </w:r>
          <w:r>
            <w:rPr>
              <w:rStyle w:val="40"/>
              <w:rFonts w:hint="eastAsia" w:cs="Times New Roman"/>
            </w:rPr>
            <w:t>4.3.3</w:t>
          </w:r>
          <w:r>
            <w:rPr>
              <w:rFonts w:hint="eastAsia" w:asciiTheme="minorHAnsi" w:hAnsiTheme="minorHAnsi" w:eastAsiaTheme="minorEastAsia" w:cstheme="minorBidi"/>
              <w:sz w:val="21"/>
              <w:szCs w:val="22"/>
              <w14:ligatures w14:val="standardContextual"/>
            </w:rPr>
            <w:tab/>
          </w:r>
          <w:r>
            <w:rPr>
              <w:rStyle w:val="40"/>
              <w:rFonts w:hint="eastAsia"/>
            </w:rPr>
            <w:t>网络建设和部署需求</w:t>
          </w:r>
          <w:r>
            <w:rPr>
              <w:rFonts w:hint="eastAsia"/>
            </w:rPr>
            <w:tab/>
          </w:r>
          <w:r>
            <w:rPr>
              <w:rFonts w:hint="eastAsia"/>
            </w:rPr>
            <w:fldChar w:fldCharType="begin"/>
          </w:r>
          <w:r>
            <w:rPr>
              <w:rFonts w:hint="eastAsia"/>
            </w:rPr>
            <w:instrText xml:space="preserve"> </w:instrText>
          </w:r>
          <w:r>
            <w:instrText xml:space="preserve">PAGEREF _Toc175233346 \h</w:instrText>
          </w:r>
          <w:r>
            <w:rPr>
              <w:rFonts w:hint="eastAsia"/>
            </w:rPr>
            <w:instrText xml:space="preserve"> </w:instrText>
          </w:r>
          <w:r>
            <w:rPr>
              <w:rFonts w:hint="eastAsia"/>
            </w:rPr>
            <w:fldChar w:fldCharType="separate"/>
          </w:r>
          <w:r>
            <w:rPr>
              <w:rFonts w:hint="eastAsia"/>
            </w:rPr>
            <w:t>10</w:t>
          </w:r>
          <w:r>
            <w:rPr>
              <w:rFonts w:hint="eastAsia"/>
            </w:rPr>
            <w:fldChar w:fldCharType="end"/>
          </w:r>
          <w:r>
            <w:rPr>
              <w:rFonts w:hint="eastAsia"/>
            </w:rPr>
            <w:fldChar w:fldCharType="end"/>
          </w:r>
        </w:p>
        <w:p w14:paraId="0C66A19C">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"_Toc175233347" </w:instrText>
          </w:r>
          <w:r>
            <w:fldChar w:fldCharType="separate"/>
          </w:r>
          <w:r>
            <w:rPr>
              <w:rStyle w:val="40"/>
              <w:rFonts w:hint="eastAsia" w:cs="Times New Roman"/>
            </w:rPr>
            <w:t>4.4</w:t>
          </w:r>
          <w:r>
            <w:rPr>
              <w:rFonts w:hint="eastAsia" w:asciiTheme="minorHAnsi" w:hAnsiTheme="minorHAnsi" w:eastAsiaTheme="minorEastAsia" w:cstheme="minorBidi"/>
              <w:szCs w:val="22"/>
              <w14:ligatures w14:val="standardContextual"/>
            </w:rPr>
            <w:tab/>
          </w:r>
          <w:r>
            <w:rPr>
              <w:rStyle w:val="40"/>
              <w:rFonts w:hint="eastAsia"/>
            </w:rPr>
            <w:t>性能需求分析</w:t>
          </w:r>
          <w:r>
            <w:rPr>
              <w:rFonts w:hint="eastAsia"/>
            </w:rPr>
            <w:tab/>
          </w:r>
          <w:r>
            <w:rPr>
              <w:rFonts w:hint="eastAsia"/>
            </w:rPr>
            <w:fldChar w:fldCharType="begin"/>
          </w:r>
          <w:r>
            <w:rPr>
              <w:rFonts w:hint="eastAsia"/>
            </w:rPr>
            <w:instrText xml:space="preserve"> </w:instrText>
          </w:r>
          <w:r>
            <w:instrText xml:space="preserve">PAGEREF _Toc175233347 \h</w:instrText>
          </w:r>
          <w:r>
            <w:rPr>
              <w:rFonts w:hint="eastAsia"/>
            </w:rPr>
            <w:instrText xml:space="preserve"> </w:instrText>
          </w:r>
          <w:r>
            <w:rPr>
              <w:rFonts w:hint="eastAsia"/>
            </w:rPr>
            <w:fldChar w:fldCharType="separate"/>
          </w:r>
          <w:r>
            <w:rPr>
              <w:rFonts w:hint="eastAsia"/>
            </w:rPr>
            <w:t>11</w:t>
          </w:r>
          <w:r>
            <w:rPr>
              <w:rFonts w:hint="eastAsia"/>
            </w:rPr>
            <w:fldChar w:fldCharType="end"/>
          </w:r>
          <w:r>
            <w:rPr>
              <w:rFonts w:hint="eastAsia"/>
            </w:rPr>
            <w:fldChar w:fldCharType="end"/>
          </w:r>
        </w:p>
        <w:p w14:paraId="5852903F">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"_Toc175233348" </w:instrText>
          </w:r>
          <w:r>
            <w:fldChar w:fldCharType="separate"/>
          </w:r>
          <w:r>
            <w:rPr>
              <w:rStyle w:val="40"/>
              <w:rFonts w:hint="eastAsia" w:cs="Times New Roman"/>
            </w:rPr>
            <w:t>4.4.1</w:t>
          </w:r>
          <w:r>
            <w:rPr>
              <w:rFonts w:hint="eastAsia" w:asciiTheme="minorHAnsi" w:hAnsiTheme="minorHAnsi" w:eastAsiaTheme="minorEastAsia" w:cstheme="minorBidi"/>
              <w:sz w:val="21"/>
              <w:szCs w:val="22"/>
              <w14:ligatures w14:val="standardContextual"/>
            </w:rPr>
            <w:tab/>
          </w:r>
          <w:r>
            <w:rPr>
              <w:rStyle w:val="40"/>
              <w:rFonts w:hint="eastAsia"/>
            </w:rPr>
            <w:t>性能指标需求</w:t>
          </w:r>
          <w:r>
            <w:rPr>
              <w:rFonts w:hint="eastAsia"/>
            </w:rPr>
            <w:tab/>
          </w:r>
          <w:r>
            <w:rPr>
              <w:rFonts w:hint="eastAsia"/>
            </w:rPr>
            <w:fldChar w:fldCharType="begin"/>
          </w:r>
          <w:r>
            <w:rPr>
              <w:rFonts w:hint="eastAsia"/>
            </w:rPr>
            <w:instrText xml:space="preserve"> </w:instrText>
          </w:r>
          <w:r>
            <w:instrText xml:space="preserve">PAGEREF _Toc175233348 \h</w:instrText>
          </w:r>
          <w:r>
            <w:rPr>
              <w:rFonts w:hint="eastAsia"/>
            </w:rPr>
            <w:instrText xml:space="preserve"> </w:instrText>
          </w:r>
          <w:r>
            <w:rPr>
              <w:rFonts w:hint="eastAsia"/>
            </w:rPr>
            <w:fldChar w:fldCharType="separate"/>
          </w:r>
          <w:r>
            <w:rPr>
              <w:rFonts w:hint="eastAsia"/>
            </w:rPr>
            <w:t>11</w:t>
          </w:r>
          <w:r>
            <w:rPr>
              <w:rFonts w:hint="eastAsia"/>
            </w:rPr>
            <w:fldChar w:fldCharType="end"/>
          </w:r>
          <w:r>
            <w:rPr>
              <w:rFonts w:hint="eastAsia"/>
            </w:rPr>
            <w:fldChar w:fldCharType="end"/>
          </w:r>
        </w:p>
        <w:p w14:paraId="7274B207">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"_Toc175233349" </w:instrText>
          </w:r>
          <w:r>
            <w:fldChar w:fldCharType="separate"/>
          </w:r>
          <w:r>
            <w:rPr>
              <w:rStyle w:val="40"/>
              <w:rFonts w:hint="eastAsia" w:cs="Times New Roman"/>
            </w:rPr>
            <w:t>4.4.2</w:t>
          </w:r>
          <w:r>
            <w:rPr>
              <w:rFonts w:hint="eastAsia" w:asciiTheme="minorHAnsi" w:hAnsiTheme="minorHAnsi" w:eastAsiaTheme="minorEastAsia" w:cstheme="minorBidi"/>
              <w:sz w:val="21"/>
              <w:szCs w:val="22"/>
              <w14:ligatures w14:val="standardContextual"/>
            </w:rPr>
            <w:tab/>
          </w:r>
          <w:r>
            <w:rPr>
              <w:rStyle w:val="40"/>
              <w:rFonts w:hint="eastAsia"/>
            </w:rPr>
            <w:t>可靠性指标需求</w:t>
          </w:r>
          <w:r>
            <w:rPr>
              <w:rFonts w:hint="eastAsia"/>
            </w:rPr>
            <w:tab/>
          </w:r>
          <w:r>
            <w:rPr>
              <w:rFonts w:hint="eastAsia"/>
            </w:rPr>
            <w:fldChar w:fldCharType="begin"/>
          </w:r>
          <w:r>
            <w:rPr>
              <w:rFonts w:hint="eastAsia"/>
            </w:rPr>
            <w:instrText xml:space="preserve"> </w:instrText>
          </w:r>
          <w:r>
            <w:instrText xml:space="preserve">PAGEREF _Toc175233349 \h</w:instrText>
          </w:r>
          <w:r>
            <w:rPr>
              <w:rFonts w:hint="eastAsia"/>
            </w:rPr>
            <w:instrText xml:space="preserve"> </w:instrText>
          </w:r>
          <w:r>
            <w:rPr>
              <w:rFonts w:hint="eastAsia"/>
            </w:rPr>
            <w:fldChar w:fldCharType="separate"/>
          </w:r>
          <w:r>
            <w:rPr>
              <w:rFonts w:hint="eastAsia"/>
            </w:rPr>
            <w:t>12</w:t>
          </w:r>
          <w:r>
            <w:rPr>
              <w:rFonts w:hint="eastAsia"/>
            </w:rPr>
            <w:fldChar w:fldCharType="end"/>
          </w:r>
          <w:r>
            <w:rPr>
              <w:rFonts w:hint="eastAsia"/>
            </w:rPr>
            <w:fldChar w:fldCharType="end"/>
          </w:r>
        </w:p>
        <w:p w14:paraId="01DE9B07">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"_Toc175233350" </w:instrText>
          </w:r>
          <w:r>
            <w:fldChar w:fldCharType="separate"/>
          </w:r>
          <w:r>
            <w:rPr>
              <w:rStyle w:val="40"/>
              <w:rFonts w:hint="eastAsia" w:cs="Times New Roman"/>
            </w:rPr>
            <w:t>4.4.3</w:t>
          </w:r>
          <w:r>
            <w:rPr>
              <w:rFonts w:hint="eastAsia" w:asciiTheme="minorHAnsi" w:hAnsiTheme="minorHAnsi" w:eastAsiaTheme="minorEastAsia" w:cstheme="minorBidi"/>
              <w:sz w:val="21"/>
              <w:szCs w:val="22"/>
              <w14:ligatures w14:val="standardContextual"/>
            </w:rPr>
            <w:tab/>
          </w:r>
          <w:r>
            <w:rPr>
              <w:rStyle w:val="40"/>
              <w:rFonts w:hint="eastAsia"/>
            </w:rPr>
            <w:t>可扩展性需求</w:t>
          </w:r>
          <w:r>
            <w:rPr>
              <w:rFonts w:hint="eastAsia"/>
            </w:rPr>
            <w:tab/>
          </w:r>
          <w:r>
            <w:rPr>
              <w:rFonts w:hint="eastAsia"/>
            </w:rPr>
            <w:fldChar w:fldCharType="begin"/>
          </w:r>
          <w:r>
            <w:rPr>
              <w:rFonts w:hint="eastAsia"/>
            </w:rPr>
            <w:instrText xml:space="preserve"> </w:instrText>
          </w:r>
          <w:r>
            <w:instrText xml:space="preserve">PAGEREF _Toc175233350 \h</w:instrText>
          </w:r>
          <w:r>
            <w:rPr>
              <w:rFonts w:hint="eastAsia"/>
            </w:rPr>
            <w:instrText xml:space="preserve"> </w:instrText>
          </w:r>
          <w:r>
            <w:rPr>
              <w:rFonts w:hint="eastAsia"/>
            </w:rPr>
            <w:fldChar w:fldCharType="separate"/>
          </w:r>
          <w:r>
            <w:rPr>
              <w:rFonts w:hint="eastAsia"/>
            </w:rPr>
            <w:t>12</w:t>
          </w:r>
          <w:r>
            <w:rPr>
              <w:rFonts w:hint="eastAsia"/>
            </w:rPr>
            <w:fldChar w:fldCharType="end"/>
          </w:r>
          <w:r>
            <w:rPr>
              <w:rFonts w:hint="eastAsia"/>
            </w:rPr>
            <w:fldChar w:fldCharType="end"/>
          </w:r>
        </w:p>
        <w:p w14:paraId="53EDFEFC">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"_Toc175233351" </w:instrText>
          </w:r>
          <w:r>
            <w:fldChar w:fldCharType="separate"/>
          </w:r>
          <w:r>
            <w:rPr>
              <w:rStyle w:val="40"/>
              <w:rFonts w:hint="eastAsia" w:cs="Times New Roman"/>
            </w:rPr>
            <w:t>4.4.4</w:t>
          </w:r>
          <w:r>
            <w:rPr>
              <w:rFonts w:hint="eastAsia" w:asciiTheme="minorHAnsi" w:hAnsiTheme="minorHAnsi" w:eastAsiaTheme="minorEastAsia" w:cstheme="minorBidi"/>
              <w:sz w:val="21"/>
              <w:szCs w:val="22"/>
              <w14:ligatures w14:val="standardContextual"/>
            </w:rPr>
            <w:tab/>
          </w:r>
          <w:r>
            <w:rPr>
              <w:rStyle w:val="40"/>
              <w:rFonts w:hint="eastAsia"/>
            </w:rPr>
            <w:t>灵活性需求</w:t>
          </w:r>
          <w:r>
            <w:rPr>
              <w:rFonts w:hint="eastAsia"/>
            </w:rPr>
            <w:tab/>
          </w:r>
          <w:r>
            <w:rPr>
              <w:rFonts w:hint="eastAsia"/>
            </w:rPr>
            <w:fldChar w:fldCharType="begin"/>
          </w:r>
          <w:r>
            <w:rPr>
              <w:rFonts w:hint="eastAsia"/>
            </w:rPr>
            <w:instrText xml:space="preserve"> </w:instrText>
          </w:r>
          <w:r>
            <w:instrText xml:space="preserve">PAGEREF _Toc175233351 \h</w:instrText>
          </w:r>
          <w:r>
            <w:rPr>
              <w:rFonts w:hint="eastAsia"/>
            </w:rPr>
            <w:instrText xml:space="preserve"> </w:instrText>
          </w:r>
          <w:r>
            <w:rPr>
              <w:rFonts w:hint="eastAsia"/>
            </w:rPr>
            <w:fldChar w:fldCharType="separate"/>
          </w:r>
          <w:r>
            <w:rPr>
              <w:rFonts w:hint="eastAsia"/>
            </w:rPr>
            <w:t>12</w:t>
          </w:r>
          <w:r>
            <w:rPr>
              <w:rFonts w:hint="eastAsia"/>
            </w:rPr>
            <w:fldChar w:fldCharType="end"/>
          </w:r>
          <w:r>
            <w:rPr>
              <w:rFonts w:hint="eastAsia"/>
            </w:rPr>
            <w:fldChar w:fldCharType="end"/>
          </w:r>
        </w:p>
        <w:p w14:paraId="6C5BE02A">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"_Toc175233352" </w:instrText>
          </w:r>
          <w:r>
            <w:fldChar w:fldCharType="separate"/>
          </w:r>
          <w:r>
            <w:rPr>
              <w:rStyle w:val="40"/>
              <w:rFonts w:hint="eastAsia" w:cs="Times New Roman"/>
            </w:rPr>
            <w:t>4.4.5</w:t>
          </w:r>
          <w:r>
            <w:rPr>
              <w:rFonts w:hint="eastAsia" w:asciiTheme="minorHAnsi" w:hAnsiTheme="minorHAnsi" w:eastAsiaTheme="minorEastAsia" w:cstheme="minorBidi"/>
              <w:sz w:val="21"/>
              <w:szCs w:val="22"/>
              <w14:ligatures w14:val="standardContextual"/>
            </w:rPr>
            <w:tab/>
          </w:r>
          <w:r>
            <w:rPr>
              <w:rStyle w:val="40"/>
              <w:rFonts w:hint="eastAsia"/>
            </w:rPr>
            <w:t>故障处理需求</w:t>
          </w:r>
          <w:r>
            <w:rPr>
              <w:rFonts w:hint="eastAsia"/>
            </w:rPr>
            <w:tab/>
          </w:r>
          <w:r>
            <w:rPr>
              <w:rFonts w:hint="eastAsia"/>
            </w:rPr>
            <w:fldChar w:fldCharType="begin"/>
          </w:r>
          <w:r>
            <w:rPr>
              <w:rFonts w:hint="eastAsia"/>
            </w:rPr>
            <w:instrText xml:space="preserve"> </w:instrText>
          </w:r>
          <w:r>
            <w:instrText xml:space="preserve">PAGEREF _Toc175233352 \h</w:instrText>
          </w:r>
          <w:r>
            <w:rPr>
              <w:rFonts w:hint="eastAsia"/>
            </w:rPr>
            <w:instrText xml:space="preserve"> </w:instrText>
          </w:r>
          <w:r>
            <w:rPr>
              <w:rFonts w:hint="eastAsia"/>
            </w:rPr>
            <w:fldChar w:fldCharType="separate"/>
          </w:r>
          <w:r>
            <w:rPr>
              <w:rFonts w:hint="eastAsia"/>
            </w:rPr>
            <w:t>12</w:t>
          </w:r>
          <w:r>
            <w:rPr>
              <w:rFonts w:hint="eastAsia"/>
            </w:rPr>
            <w:fldChar w:fldCharType="end"/>
          </w:r>
          <w:r>
            <w:rPr>
              <w:rFonts w:hint="eastAsia"/>
            </w:rPr>
            <w:fldChar w:fldCharType="end"/>
          </w:r>
        </w:p>
        <w:p w14:paraId="1BB39B34">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"_Toc175233353" </w:instrText>
          </w:r>
          <w:r>
            <w:fldChar w:fldCharType="separate"/>
          </w:r>
          <w:r>
            <w:rPr>
              <w:rStyle w:val="40"/>
              <w:rFonts w:hint="eastAsia" w:cs="Times New Roman"/>
            </w:rPr>
            <w:t>4.4.6</w:t>
          </w:r>
          <w:r>
            <w:rPr>
              <w:rFonts w:hint="eastAsia" w:asciiTheme="minorHAnsi" w:hAnsiTheme="minorHAnsi" w:eastAsiaTheme="minorEastAsia" w:cstheme="minorBidi"/>
              <w:sz w:val="21"/>
              <w:szCs w:val="22"/>
              <w14:ligatures w14:val="standardContextual"/>
            </w:rPr>
            <w:tab/>
          </w:r>
          <w:r>
            <w:rPr>
              <w:rStyle w:val="40"/>
              <w:rFonts w:hint="eastAsia"/>
            </w:rPr>
            <w:t>标准化需求</w:t>
          </w:r>
          <w:r>
            <w:rPr>
              <w:rFonts w:hint="eastAsia"/>
            </w:rPr>
            <w:tab/>
          </w:r>
          <w:r>
            <w:rPr>
              <w:rFonts w:hint="eastAsia"/>
            </w:rPr>
            <w:fldChar w:fldCharType="begin"/>
          </w:r>
          <w:r>
            <w:rPr>
              <w:rFonts w:hint="eastAsia"/>
            </w:rPr>
            <w:instrText xml:space="preserve"> </w:instrText>
          </w:r>
          <w:r>
            <w:instrText xml:space="preserve">PAGEREF _Toc175233353 \h</w:instrText>
          </w:r>
          <w:r>
            <w:rPr>
              <w:rFonts w:hint="eastAsia"/>
            </w:rPr>
            <w:instrText xml:space="preserve"> </w:instrText>
          </w:r>
          <w:r>
            <w:rPr>
              <w:rFonts w:hint="eastAsia"/>
            </w:rPr>
            <w:fldChar w:fldCharType="separate"/>
          </w:r>
          <w:r>
            <w:rPr>
              <w:rFonts w:hint="eastAsia"/>
            </w:rPr>
            <w:t>12</w:t>
          </w:r>
          <w:r>
            <w:rPr>
              <w:rFonts w:hint="eastAsia"/>
            </w:rPr>
            <w:fldChar w:fldCharType="end"/>
          </w:r>
          <w:r>
            <w:rPr>
              <w:rFonts w:hint="eastAsia"/>
            </w:rPr>
            <w:fldChar w:fldCharType="end"/>
          </w:r>
        </w:p>
        <w:p w14:paraId="5455DBC0">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"_Toc175233354" </w:instrText>
          </w:r>
          <w:r>
            <w:fldChar w:fldCharType="separate"/>
          </w:r>
          <w:r>
            <w:rPr>
              <w:rStyle w:val="40"/>
              <w:rFonts w:hint="eastAsia" w:cs="Times New Roman"/>
            </w:rPr>
            <w:t>4.4.7</w:t>
          </w:r>
          <w:r>
            <w:rPr>
              <w:rFonts w:hint="eastAsia" w:asciiTheme="minorHAnsi" w:hAnsiTheme="minorHAnsi" w:eastAsiaTheme="minorEastAsia" w:cstheme="minorBidi"/>
              <w:sz w:val="21"/>
              <w:szCs w:val="22"/>
              <w14:ligatures w14:val="standardContextual"/>
            </w:rPr>
            <w:tab/>
          </w:r>
          <w:r>
            <w:rPr>
              <w:rStyle w:val="40"/>
              <w:rFonts w:hint="eastAsia"/>
            </w:rPr>
            <w:t>易维护性需求</w:t>
          </w:r>
          <w:r>
            <w:rPr>
              <w:rFonts w:hint="eastAsia"/>
            </w:rPr>
            <w:tab/>
          </w:r>
          <w:r>
            <w:rPr>
              <w:rFonts w:hint="eastAsia"/>
            </w:rPr>
            <w:fldChar w:fldCharType="begin"/>
          </w:r>
          <w:r>
            <w:rPr>
              <w:rFonts w:hint="eastAsia"/>
            </w:rPr>
            <w:instrText xml:space="preserve"> </w:instrText>
          </w:r>
          <w:r>
            <w:instrText xml:space="preserve">PAGEREF _Toc175233354 \h</w:instrText>
          </w:r>
          <w:r>
            <w:rPr>
              <w:rFonts w:hint="eastAsia"/>
            </w:rPr>
            <w:instrText xml:space="preserve"> </w:instrText>
          </w:r>
          <w:r>
            <w:rPr>
              <w:rFonts w:hint="eastAsia"/>
            </w:rPr>
            <w:fldChar w:fldCharType="separate"/>
          </w:r>
          <w:r>
            <w:rPr>
              <w:rFonts w:hint="eastAsia"/>
            </w:rPr>
            <w:t>12</w:t>
          </w:r>
          <w:r>
            <w:rPr>
              <w:rFonts w:hint="eastAsia"/>
            </w:rPr>
            <w:fldChar w:fldCharType="end"/>
          </w:r>
          <w:r>
            <w:rPr>
              <w:rFonts w:hint="eastAsia"/>
            </w:rPr>
            <w:fldChar w:fldCharType="end"/>
          </w:r>
        </w:p>
        <w:p w14:paraId="7CDC47FC">
          <w:pPr>
            <w:pStyle w:val="25"/>
            <w:tabs>
              <w:tab w:val="right" w:leader="dot" w:pos="8296"/>
            </w:tabs>
            <w:rPr>
              <w:rFonts w:hint="eastAsia" w:asciiTheme="minorHAnsi" w:hAnsiTheme="minorHAnsi" w:eastAsiaTheme="minorEastAsia" w:cstheme="minorBidi"/>
              <w:b w:val="0"/>
              <w:sz w:val="21"/>
              <w:szCs w:val="22"/>
              <w14:ligatures w14:val="standardContextual"/>
            </w:rPr>
          </w:pPr>
          <w:r>
            <w:fldChar w:fldCharType="begin"/>
          </w:r>
          <w:r>
            <w:instrText xml:space="preserve"> HYPERLINK \l "_Toc175233355" </w:instrText>
          </w:r>
          <w:r>
            <w:fldChar w:fldCharType="separate"/>
          </w:r>
          <w:r>
            <w:rPr>
              <w:rStyle w:val="40"/>
              <w:rFonts w:hint="eastAsia" w:hAnsi="仿宋"/>
            </w:rPr>
            <w:t>第五章</w:t>
          </w:r>
          <w:r>
            <w:rPr>
              <w:rStyle w:val="40"/>
              <w:rFonts w:hint="eastAsia"/>
            </w:rPr>
            <w:t xml:space="preserve"> 项目实施方案</w:t>
          </w:r>
          <w:r>
            <w:rPr>
              <w:rFonts w:hint="eastAsia"/>
            </w:rPr>
            <w:tab/>
          </w:r>
          <w:r>
            <w:rPr>
              <w:rFonts w:hint="eastAsia"/>
            </w:rPr>
            <w:fldChar w:fldCharType="begin"/>
          </w:r>
          <w:r>
            <w:rPr>
              <w:rFonts w:hint="eastAsia"/>
            </w:rPr>
            <w:instrText xml:space="preserve"> </w:instrText>
          </w:r>
          <w:r>
            <w:instrText xml:space="preserve">PAGEREF _Toc175233355 \h</w:instrText>
          </w:r>
          <w:r>
            <w:rPr>
              <w:rFonts w:hint="eastAsia"/>
            </w:rPr>
            <w:instrText xml:space="preserve"> </w:instrText>
          </w:r>
          <w:r>
            <w:rPr>
              <w:rFonts w:hint="eastAsia"/>
            </w:rPr>
            <w:fldChar w:fldCharType="separate"/>
          </w:r>
          <w:r>
            <w:rPr>
              <w:rFonts w:hint="eastAsia"/>
            </w:rPr>
            <w:t>13</w:t>
          </w:r>
          <w:r>
            <w:rPr>
              <w:rFonts w:hint="eastAsia"/>
            </w:rPr>
            <w:fldChar w:fldCharType="end"/>
          </w:r>
          <w:r>
            <w:rPr>
              <w:rFonts w:hint="eastAsia"/>
            </w:rPr>
            <w:fldChar w:fldCharType="end"/>
          </w:r>
        </w:p>
        <w:p w14:paraId="29C29CB0">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"_Toc175233356" </w:instrText>
          </w:r>
          <w:r>
            <w:fldChar w:fldCharType="separate"/>
          </w:r>
          <w:r>
            <w:rPr>
              <w:rStyle w:val="40"/>
              <w:rFonts w:hint="eastAsia" w:cs="Times New Roman"/>
            </w:rPr>
            <w:t>5.1</w:t>
          </w:r>
          <w:r>
            <w:rPr>
              <w:rFonts w:hint="eastAsia" w:asciiTheme="minorHAnsi" w:hAnsiTheme="minorHAnsi" w:eastAsiaTheme="minorEastAsia" w:cstheme="minorBidi"/>
              <w:szCs w:val="22"/>
              <w14:ligatures w14:val="standardContextual"/>
            </w:rPr>
            <w:tab/>
          </w:r>
          <w:r>
            <w:rPr>
              <w:rStyle w:val="40"/>
              <w:rFonts w:hint="eastAsia"/>
            </w:rPr>
            <w:t>项目实施原则</w:t>
          </w:r>
          <w:r>
            <w:rPr>
              <w:rFonts w:hint="eastAsia"/>
            </w:rPr>
            <w:tab/>
          </w:r>
          <w:r>
            <w:rPr>
              <w:rFonts w:hint="eastAsia"/>
            </w:rPr>
            <w:fldChar w:fldCharType="begin"/>
          </w:r>
          <w:r>
            <w:rPr>
              <w:rFonts w:hint="eastAsia"/>
            </w:rPr>
            <w:instrText xml:space="preserve"> </w:instrText>
          </w:r>
          <w:r>
            <w:instrText xml:space="preserve">PAGEREF _Toc175233356 \h</w:instrText>
          </w:r>
          <w:r>
            <w:rPr>
              <w:rFonts w:hint="eastAsia"/>
            </w:rPr>
            <w:instrText xml:space="preserve"> </w:instrText>
          </w:r>
          <w:r>
            <w:rPr>
              <w:rFonts w:hint="eastAsia"/>
            </w:rPr>
            <w:fldChar w:fldCharType="separate"/>
          </w:r>
          <w:r>
            <w:rPr>
              <w:rFonts w:hint="eastAsia"/>
            </w:rPr>
            <w:t>13</w:t>
          </w:r>
          <w:r>
            <w:rPr>
              <w:rFonts w:hint="eastAsia"/>
            </w:rPr>
            <w:fldChar w:fldCharType="end"/>
          </w:r>
          <w:r>
            <w:rPr>
              <w:rFonts w:hint="eastAsia"/>
            </w:rPr>
            <w:fldChar w:fldCharType="end"/>
          </w:r>
        </w:p>
        <w:p w14:paraId="2A01D572">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"_Toc175233357" </w:instrText>
          </w:r>
          <w:r>
            <w:fldChar w:fldCharType="separate"/>
          </w:r>
          <w:r>
            <w:rPr>
              <w:rStyle w:val="40"/>
              <w:rFonts w:hint="eastAsia" w:cs="Times New Roman"/>
            </w:rPr>
            <w:t>5.2</w:t>
          </w:r>
          <w:r>
            <w:rPr>
              <w:rFonts w:hint="eastAsia" w:asciiTheme="minorHAnsi" w:hAnsiTheme="minorHAnsi" w:eastAsiaTheme="minorEastAsia" w:cstheme="minorBidi"/>
              <w:szCs w:val="22"/>
              <w14:ligatures w14:val="standardContextual"/>
            </w:rPr>
            <w:tab/>
          </w:r>
          <w:r>
            <w:rPr>
              <w:rStyle w:val="40"/>
              <w:rFonts w:hint="eastAsia"/>
            </w:rPr>
            <w:t>总体技术路线</w:t>
          </w:r>
          <w:r>
            <w:rPr>
              <w:rFonts w:hint="eastAsia"/>
            </w:rPr>
            <w:tab/>
          </w:r>
          <w:r>
            <w:rPr>
              <w:rFonts w:hint="eastAsia"/>
            </w:rPr>
            <w:fldChar w:fldCharType="begin"/>
          </w:r>
          <w:r>
            <w:rPr>
              <w:rFonts w:hint="eastAsia"/>
            </w:rPr>
            <w:instrText xml:space="preserve"> </w:instrText>
          </w:r>
          <w:r>
            <w:instrText xml:space="preserve">PAGEREF _Toc175233357 \h</w:instrText>
          </w:r>
          <w:r>
            <w:rPr>
              <w:rFonts w:hint="eastAsia"/>
            </w:rPr>
            <w:instrText xml:space="preserve"> </w:instrText>
          </w:r>
          <w:r>
            <w:rPr>
              <w:rFonts w:hint="eastAsia"/>
            </w:rPr>
            <w:fldChar w:fldCharType="separate"/>
          </w:r>
          <w:r>
            <w:rPr>
              <w:rFonts w:hint="eastAsia"/>
            </w:rPr>
            <w:t>15</w:t>
          </w:r>
          <w:r>
            <w:rPr>
              <w:rFonts w:hint="eastAsia"/>
            </w:rPr>
            <w:fldChar w:fldCharType="end"/>
          </w:r>
          <w:r>
            <w:rPr>
              <w:rFonts w:hint="eastAsia"/>
            </w:rPr>
            <w:fldChar w:fldCharType="end"/>
          </w:r>
        </w:p>
        <w:p w14:paraId="23663129">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"_Toc175233358" </w:instrText>
          </w:r>
          <w:r>
            <w:fldChar w:fldCharType="separate"/>
          </w:r>
          <w:r>
            <w:rPr>
              <w:rStyle w:val="40"/>
              <w:rFonts w:hint="eastAsia" w:cs="Times New Roman"/>
            </w:rPr>
            <w:t>5.3</w:t>
          </w:r>
          <w:r>
            <w:rPr>
              <w:rFonts w:hint="eastAsia" w:asciiTheme="minorHAnsi" w:hAnsiTheme="minorHAnsi" w:eastAsiaTheme="minorEastAsia" w:cstheme="minorBidi"/>
              <w:szCs w:val="22"/>
              <w14:ligatures w14:val="standardContextual"/>
            </w:rPr>
            <w:tab/>
          </w:r>
          <w:r>
            <w:rPr>
              <w:rStyle w:val="40"/>
              <w:rFonts w:hint="eastAsia"/>
            </w:rPr>
            <w:t>水源地水质净化</w:t>
          </w:r>
          <w:r>
            <w:rPr>
              <w:rFonts w:hint="eastAsia"/>
            </w:rPr>
            <w:tab/>
          </w:r>
          <w:r>
            <w:rPr>
              <w:rFonts w:hint="eastAsia"/>
            </w:rPr>
            <w:fldChar w:fldCharType="begin"/>
          </w:r>
          <w:r>
            <w:rPr>
              <w:rFonts w:hint="eastAsia"/>
            </w:rPr>
            <w:instrText xml:space="preserve"> </w:instrText>
          </w:r>
          <w:r>
            <w:instrText xml:space="preserve">PAGEREF _Toc175233358 \h</w:instrText>
          </w:r>
          <w:r>
            <w:rPr>
              <w:rFonts w:hint="eastAsia"/>
            </w:rPr>
            <w:instrText xml:space="preserve"> </w:instrText>
          </w:r>
          <w:r>
            <w:rPr>
              <w:rFonts w:hint="eastAsia"/>
            </w:rPr>
            <w:fldChar w:fldCharType="separate"/>
          </w:r>
          <w:r>
            <w:rPr>
              <w:rFonts w:hint="eastAsia"/>
            </w:rPr>
            <w:t>17</w:t>
          </w:r>
          <w:r>
            <w:rPr>
              <w:rFonts w:hint="eastAsia"/>
            </w:rPr>
            <w:fldChar w:fldCharType="end"/>
          </w:r>
          <w:r>
            <w:rPr>
              <w:rFonts w:hint="eastAsia"/>
            </w:rPr>
            <w:fldChar w:fldCharType="end"/>
          </w:r>
        </w:p>
        <w:p w14:paraId="2278B4F5">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"_Toc175233359" </w:instrText>
          </w:r>
          <w:r>
            <w:fldChar w:fldCharType="separate"/>
          </w:r>
          <w:r>
            <w:rPr>
              <w:rStyle w:val="40"/>
              <w:rFonts w:hint="eastAsia" w:cs="Times New Roman"/>
            </w:rPr>
            <w:t>5.4</w:t>
          </w:r>
          <w:r>
            <w:rPr>
              <w:rFonts w:hint="eastAsia" w:asciiTheme="minorHAnsi" w:hAnsiTheme="minorHAnsi" w:eastAsiaTheme="minorEastAsia" w:cstheme="minorBidi"/>
              <w:szCs w:val="22"/>
              <w14:ligatures w14:val="standardContextual"/>
            </w:rPr>
            <w:tab/>
          </w:r>
          <w:r>
            <w:rPr>
              <w:rStyle w:val="40"/>
              <w:rFonts w:hint="eastAsia"/>
            </w:rPr>
            <w:t>水源地设备安装点位及供配电建设</w:t>
          </w:r>
          <w:r>
            <w:rPr>
              <w:rFonts w:hint="eastAsia"/>
            </w:rPr>
            <w:tab/>
          </w:r>
          <w:r>
            <w:rPr>
              <w:rFonts w:hint="eastAsia"/>
            </w:rPr>
            <w:fldChar w:fldCharType="begin"/>
          </w:r>
          <w:r>
            <w:rPr>
              <w:rFonts w:hint="eastAsia"/>
            </w:rPr>
            <w:instrText xml:space="preserve"> </w:instrText>
          </w:r>
          <w:r>
            <w:instrText xml:space="preserve">PAGEREF _Toc175233359 \h</w:instrText>
          </w:r>
          <w:r>
            <w:rPr>
              <w:rFonts w:hint="eastAsia"/>
            </w:rPr>
            <w:instrText xml:space="preserve"> </w:instrText>
          </w:r>
          <w:r>
            <w:rPr>
              <w:rFonts w:hint="eastAsia"/>
            </w:rPr>
            <w:fldChar w:fldCharType="separate"/>
          </w:r>
          <w:r>
            <w:rPr>
              <w:rFonts w:hint="eastAsia"/>
            </w:rPr>
            <w:t>19</w:t>
          </w:r>
          <w:r>
            <w:rPr>
              <w:rFonts w:hint="eastAsia"/>
            </w:rPr>
            <w:fldChar w:fldCharType="end"/>
          </w:r>
          <w:r>
            <w:rPr>
              <w:rFonts w:hint="eastAsia"/>
            </w:rPr>
            <w:fldChar w:fldCharType="end"/>
          </w:r>
        </w:p>
        <w:p w14:paraId="0BC2E44A">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"_Toc175233360" </w:instrText>
          </w:r>
          <w:r>
            <w:fldChar w:fldCharType="separate"/>
          </w:r>
          <w:r>
            <w:rPr>
              <w:rStyle w:val="40"/>
              <w:rFonts w:hint="eastAsia" w:cs="Times New Roman"/>
            </w:rPr>
            <w:t>5.5</w:t>
          </w:r>
          <w:r>
            <w:rPr>
              <w:rFonts w:hint="eastAsia" w:asciiTheme="minorHAnsi" w:hAnsiTheme="minorHAnsi" w:eastAsiaTheme="minorEastAsia" w:cstheme="minorBidi"/>
              <w:szCs w:val="22"/>
              <w14:ligatures w14:val="standardContextual"/>
            </w:rPr>
            <w:tab/>
          </w:r>
          <w:r>
            <w:rPr>
              <w:rStyle w:val="40"/>
              <w:rFonts w:hint="eastAsia"/>
            </w:rPr>
            <w:t>水源地水质在线监测及视频联动报警</w:t>
          </w:r>
          <w:r>
            <w:rPr>
              <w:rFonts w:hint="eastAsia"/>
            </w:rPr>
            <w:tab/>
          </w:r>
          <w:r>
            <w:rPr>
              <w:rFonts w:hint="eastAsia"/>
            </w:rPr>
            <w:fldChar w:fldCharType="begin"/>
          </w:r>
          <w:r>
            <w:rPr>
              <w:rFonts w:hint="eastAsia"/>
            </w:rPr>
            <w:instrText xml:space="preserve"> </w:instrText>
          </w:r>
          <w:r>
            <w:instrText xml:space="preserve">PAGEREF _Toc175233360 \h</w:instrText>
          </w:r>
          <w:r>
            <w:rPr>
              <w:rFonts w:hint="eastAsia"/>
            </w:rPr>
            <w:instrText xml:space="preserve"> </w:instrText>
          </w:r>
          <w:r>
            <w:rPr>
              <w:rFonts w:hint="eastAsia"/>
            </w:rPr>
            <w:fldChar w:fldCharType="separate"/>
          </w:r>
          <w:r>
            <w:rPr>
              <w:rFonts w:hint="eastAsia"/>
            </w:rPr>
            <w:t>39</w:t>
          </w:r>
          <w:r>
            <w:rPr>
              <w:rFonts w:hint="eastAsia"/>
            </w:rPr>
            <w:fldChar w:fldCharType="end"/>
          </w:r>
          <w:r>
            <w:rPr>
              <w:rFonts w:hint="eastAsia"/>
            </w:rPr>
            <w:fldChar w:fldCharType="end"/>
          </w:r>
        </w:p>
        <w:p w14:paraId="4EBC90B9">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"_Toc175233361" </w:instrText>
          </w:r>
          <w:r>
            <w:fldChar w:fldCharType="separate"/>
          </w:r>
          <w:r>
            <w:rPr>
              <w:rStyle w:val="40"/>
              <w:rFonts w:hint="eastAsia" w:cs="Times New Roman"/>
              <w:kern w:val="21"/>
            </w:rPr>
            <w:t>5.5.1</w:t>
          </w:r>
          <w:r>
            <w:rPr>
              <w:rFonts w:hint="eastAsia" w:asciiTheme="minorHAnsi" w:hAnsiTheme="minorHAnsi" w:eastAsiaTheme="minorEastAsia" w:cstheme="minorBidi"/>
              <w:sz w:val="21"/>
              <w:szCs w:val="22"/>
              <w14:ligatures w14:val="standardContextual"/>
            </w:rPr>
            <w:tab/>
          </w:r>
          <w:r>
            <w:rPr>
              <w:rStyle w:val="40"/>
              <w:rFonts w:hint="eastAsia" w:cs="Arial"/>
              <w:kern w:val="21"/>
            </w:rPr>
            <w:t>浑浊度光电自动监测装置建设</w:t>
          </w:r>
          <w:r>
            <w:rPr>
              <w:rFonts w:hint="eastAsia"/>
            </w:rPr>
            <w:tab/>
          </w:r>
          <w:r>
            <w:rPr>
              <w:rFonts w:hint="eastAsia"/>
            </w:rPr>
            <w:fldChar w:fldCharType="begin"/>
          </w:r>
          <w:r>
            <w:rPr>
              <w:rFonts w:hint="eastAsia"/>
            </w:rPr>
            <w:instrText xml:space="preserve"> </w:instrText>
          </w:r>
          <w:r>
            <w:instrText xml:space="preserve">PAGEREF _Toc175233361 \h</w:instrText>
          </w:r>
          <w:r>
            <w:rPr>
              <w:rFonts w:hint="eastAsia"/>
            </w:rPr>
            <w:instrText xml:space="preserve"> </w:instrText>
          </w:r>
          <w:r>
            <w:rPr>
              <w:rFonts w:hint="eastAsia"/>
            </w:rPr>
            <w:fldChar w:fldCharType="separate"/>
          </w:r>
          <w:r>
            <w:rPr>
              <w:rFonts w:hint="eastAsia"/>
            </w:rPr>
            <w:t>40</w:t>
          </w:r>
          <w:r>
            <w:rPr>
              <w:rFonts w:hint="eastAsia"/>
            </w:rPr>
            <w:fldChar w:fldCharType="end"/>
          </w:r>
          <w:r>
            <w:rPr>
              <w:rFonts w:hint="eastAsia"/>
            </w:rPr>
            <w:fldChar w:fldCharType="end"/>
          </w:r>
        </w:p>
        <w:p w14:paraId="3308D8A2">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"_Toc175233362" </w:instrText>
          </w:r>
          <w:r>
            <w:fldChar w:fldCharType="separate"/>
          </w:r>
          <w:r>
            <w:rPr>
              <w:rStyle w:val="40"/>
              <w:rFonts w:hint="eastAsia" w:cs="Times New Roman"/>
              <w:kern w:val="21"/>
            </w:rPr>
            <w:t>5.5.2</w:t>
          </w:r>
          <w:r>
            <w:rPr>
              <w:rFonts w:hint="eastAsia" w:asciiTheme="minorHAnsi" w:hAnsiTheme="minorHAnsi" w:eastAsiaTheme="minorEastAsia" w:cstheme="minorBidi"/>
              <w:sz w:val="21"/>
              <w:szCs w:val="22"/>
              <w14:ligatures w14:val="standardContextual"/>
            </w:rPr>
            <w:tab/>
          </w:r>
          <w:r>
            <w:rPr>
              <w:rStyle w:val="40"/>
              <w:rFonts w:hint="eastAsia" w:cs="Arial"/>
              <w:kern w:val="21"/>
            </w:rPr>
            <w:t>数据采集传输装置建设</w:t>
          </w:r>
          <w:r>
            <w:rPr>
              <w:rFonts w:hint="eastAsia"/>
            </w:rPr>
            <w:tab/>
          </w:r>
          <w:r>
            <w:rPr>
              <w:rFonts w:hint="eastAsia"/>
            </w:rPr>
            <w:fldChar w:fldCharType="begin"/>
          </w:r>
          <w:r>
            <w:rPr>
              <w:rFonts w:hint="eastAsia"/>
            </w:rPr>
            <w:instrText xml:space="preserve"> </w:instrText>
          </w:r>
          <w:r>
            <w:instrText xml:space="preserve">PAGEREF _Toc175233362 \h</w:instrText>
          </w:r>
          <w:r>
            <w:rPr>
              <w:rFonts w:hint="eastAsia"/>
            </w:rPr>
            <w:instrText xml:space="preserve"> </w:instrText>
          </w:r>
          <w:r>
            <w:rPr>
              <w:rFonts w:hint="eastAsia"/>
            </w:rPr>
            <w:fldChar w:fldCharType="separate"/>
          </w:r>
          <w:r>
            <w:rPr>
              <w:rFonts w:hint="eastAsia"/>
            </w:rPr>
            <w:t>41</w:t>
          </w:r>
          <w:r>
            <w:rPr>
              <w:rFonts w:hint="eastAsia"/>
            </w:rPr>
            <w:fldChar w:fldCharType="end"/>
          </w:r>
          <w:r>
            <w:rPr>
              <w:rFonts w:hint="eastAsia"/>
            </w:rPr>
            <w:fldChar w:fldCharType="end"/>
          </w:r>
        </w:p>
        <w:p w14:paraId="756B8701">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"_Toc175233363" </w:instrText>
          </w:r>
          <w:r>
            <w:fldChar w:fldCharType="separate"/>
          </w:r>
          <w:r>
            <w:rPr>
              <w:rStyle w:val="40"/>
              <w:rFonts w:hint="eastAsia" w:cs="Times New Roman"/>
              <w:kern w:val="21"/>
            </w:rPr>
            <w:t>5.5.3</w:t>
          </w:r>
          <w:r>
            <w:rPr>
              <w:rFonts w:hint="eastAsia" w:asciiTheme="minorHAnsi" w:hAnsiTheme="minorHAnsi" w:eastAsiaTheme="minorEastAsia" w:cstheme="minorBidi"/>
              <w:sz w:val="21"/>
              <w:szCs w:val="22"/>
              <w14:ligatures w14:val="standardContextual"/>
            </w:rPr>
            <w:tab/>
          </w:r>
          <w:r>
            <w:rPr>
              <w:rStyle w:val="40"/>
              <w:rFonts w:hint="eastAsia" w:cs="Arial"/>
              <w:kern w:val="21"/>
            </w:rPr>
            <w:t>视频监控摄像头建设</w:t>
          </w:r>
          <w:r>
            <w:rPr>
              <w:rFonts w:hint="eastAsia"/>
            </w:rPr>
            <w:tab/>
          </w:r>
          <w:r>
            <w:rPr>
              <w:rFonts w:hint="eastAsia"/>
            </w:rPr>
            <w:fldChar w:fldCharType="begin"/>
          </w:r>
          <w:r>
            <w:rPr>
              <w:rFonts w:hint="eastAsia"/>
            </w:rPr>
            <w:instrText xml:space="preserve"> </w:instrText>
          </w:r>
          <w:r>
            <w:instrText xml:space="preserve">PAGEREF _Toc175233363 \h</w:instrText>
          </w:r>
          <w:r>
            <w:rPr>
              <w:rFonts w:hint="eastAsia"/>
            </w:rPr>
            <w:instrText xml:space="preserve"> </w:instrText>
          </w:r>
          <w:r>
            <w:rPr>
              <w:rFonts w:hint="eastAsia"/>
            </w:rPr>
            <w:fldChar w:fldCharType="separate"/>
          </w:r>
          <w:r>
            <w:rPr>
              <w:rFonts w:hint="eastAsia"/>
            </w:rPr>
            <w:t>42</w:t>
          </w:r>
          <w:r>
            <w:rPr>
              <w:rFonts w:hint="eastAsia"/>
            </w:rPr>
            <w:fldChar w:fldCharType="end"/>
          </w:r>
          <w:r>
            <w:rPr>
              <w:rFonts w:hint="eastAsia"/>
            </w:rPr>
            <w:fldChar w:fldCharType="end"/>
          </w:r>
        </w:p>
        <w:p w14:paraId="39272E7F">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"_Toc175233364" </w:instrText>
          </w:r>
          <w:r>
            <w:fldChar w:fldCharType="separate"/>
          </w:r>
          <w:r>
            <w:rPr>
              <w:rStyle w:val="40"/>
              <w:rFonts w:hint="eastAsia" w:cs="Times New Roman"/>
              <w:kern w:val="21"/>
            </w:rPr>
            <w:t>5.5.4</w:t>
          </w:r>
          <w:r>
            <w:rPr>
              <w:rFonts w:hint="eastAsia" w:asciiTheme="minorHAnsi" w:hAnsiTheme="minorHAnsi" w:eastAsiaTheme="minorEastAsia" w:cstheme="minorBidi"/>
              <w:sz w:val="21"/>
              <w:szCs w:val="22"/>
              <w14:ligatures w14:val="standardContextual"/>
            </w:rPr>
            <w:tab/>
          </w:r>
          <w:r>
            <w:rPr>
              <w:rStyle w:val="40"/>
              <w:rFonts w:hint="eastAsia" w:cs="Arial"/>
              <w:kern w:val="21"/>
            </w:rPr>
            <w:t>视频联动算法装置建设</w:t>
          </w:r>
          <w:r>
            <w:rPr>
              <w:rFonts w:hint="eastAsia"/>
            </w:rPr>
            <w:tab/>
          </w:r>
          <w:r>
            <w:rPr>
              <w:rFonts w:hint="eastAsia"/>
            </w:rPr>
            <w:fldChar w:fldCharType="begin"/>
          </w:r>
          <w:r>
            <w:rPr>
              <w:rFonts w:hint="eastAsia"/>
            </w:rPr>
            <w:instrText xml:space="preserve"> </w:instrText>
          </w:r>
          <w:r>
            <w:instrText xml:space="preserve">PAGEREF _Toc175233364 \h</w:instrText>
          </w:r>
          <w:r>
            <w:rPr>
              <w:rFonts w:hint="eastAsia"/>
            </w:rPr>
            <w:instrText xml:space="preserve"> </w:instrText>
          </w:r>
          <w:r>
            <w:rPr>
              <w:rFonts w:hint="eastAsia"/>
            </w:rPr>
            <w:fldChar w:fldCharType="separate"/>
          </w:r>
          <w:r>
            <w:rPr>
              <w:rFonts w:hint="eastAsia"/>
            </w:rPr>
            <w:t>42</w:t>
          </w:r>
          <w:r>
            <w:rPr>
              <w:rFonts w:hint="eastAsia"/>
            </w:rPr>
            <w:fldChar w:fldCharType="end"/>
          </w:r>
          <w:r>
            <w:rPr>
              <w:rFonts w:hint="eastAsia"/>
            </w:rPr>
            <w:fldChar w:fldCharType="end"/>
          </w:r>
        </w:p>
        <w:p w14:paraId="2F2F7ECD">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"_Toc175233365" </w:instrText>
          </w:r>
          <w:r>
            <w:fldChar w:fldCharType="separate"/>
          </w:r>
          <w:r>
            <w:rPr>
              <w:rStyle w:val="40"/>
              <w:rFonts w:hint="eastAsia" w:cs="Times New Roman"/>
            </w:rPr>
            <w:t>5.5.5</w:t>
          </w:r>
          <w:r>
            <w:rPr>
              <w:rFonts w:hint="eastAsia" w:asciiTheme="minorHAnsi" w:hAnsiTheme="minorHAnsi" w:eastAsiaTheme="minorEastAsia" w:cstheme="minorBidi"/>
              <w:sz w:val="21"/>
              <w:szCs w:val="22"/>
              <w14:ligatures w14:val="standardContextual"/>
            </w:rPr>
            <w:tab/>
          </w:r>
          <w:r>
            <w:rPr>
              <w:rStyle w:val="40"/>
              <w:rFonts w:hint="eastAsia"/>
            </w:rPr>
            <w:t>无线网关建设</w:t>
          </w:r>
          <w:r>
            <w:rPr>
              <w:rFonts w:hint="eastAsia"/>
            </w:rPr>
            <w:tab/>
          </w:r>
          <w:r>
            <w:rPr>
              <w:rFonts w:hint="eastAsia"/>
            </w:rPr>
            <w:fldChar w:fldCharType="begin"/>
          </w:r>
          <w:r>
            <w:rPr>
              <w:rFonts w:hint="eastAsia"/>
            </w:rPr>
            <w:instrText xml:space="preserve"> </w:instrText>
          </w:r>
          <w:r>
            <w:instrText xml:space="preserve">PAGEREF _Toc175233365 \h</w:instrText>
          </w:r>
          <w:r>
            <w:rPr>
              <w:rFonts w:hint="eastAsia"/>
            </w:rPr>
            <w:instrText xml:space="preserve"> </w:instrText>
          </w:r>
          <w:r>
            <w:rPr>
              <w:rFonts w:hint="eastAsia"/>
            </w:rPr>
            <w:fldChar w:fldCharType="separate"/>
          </w:r>
          <w:r>
            <w:rPr>
              <w:rFonts w:hint="eastAsia"/>
            </w:rPr>
            <w:t>43</w:t>
          </w:r>
          <w:r>
            <w:rPr>
              <w:rFonts w:hint="eastAsia"/>
            </w:rPr>
            <w:fldChar w:fldCharType="end"/>
          </w:r>
          <w:r>
            <w:rPr>
              <w:rFonts w:hint="eastAsia"/>
            </w:rPr>
            <w:fldChar w:fldCharType="end"/>
          </w:r>
        </w:p>
        <w:p w14:paraId="4C204EF2">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"_Toc175233366" </w:instrText>
          </w:r>
          <w:r>
            <w:fldChar w:fldCharType="separate"/>
          </w:r>
          <w:r>
            <w:rPr>
              <w:rStyle w:val="40"/>
              <w:rFonts w:hint="eastAsia" w:cs="Times New Roman"/>
            </w:rPr>
            <w:t>5.6</w:t>
          </w:r>
          <w:r>
            <w:rPr>
              <w:rFonts w:hint="eastAsia" w:asciiTheme="minorHAnsi" w:hAnsiTheme="minorHAnsi" w:eastAsiaTheme="minorEastAsia" w:cstheme="minorBidi"/>
              <w:szCs w:val="22"/>
              <w14:ligatures w14:val="standardContextual"/>
            </w:rPr>
            <w:tab/>
          </w:r>
          <w:r>
            <w:rPr>
              <w:rStyle w:val="40"/>
              <w:rFonts w:hint="eastAsia"/>
            </w:rPr>
            <w:t>水源地视频监控及算法自动报警</w:t>
          </w:r>
          <w:r>
            <w:rPr>
              <w:rFonts w:hint="eastAsia"/>
            </w:rPr>
            <w:tab/>
          </w:r>
          <w:r>
            <w:rPr>
              <w:rFonts w:hint="eastAsia"/>
            </w:rPr>
            <w:fldChar w:fldCharType="begin"/>
          </w:r>
          <w:r>
            <w:rPr>
              <w:rFonts w:hint="eastAsia"/>
            </w:rPr>
            <w:instrText xml:space="preserve"> </w:instrText>
          </w:r>
          <w:r>
            <w:instrText xml:space="preserve">PAGEREF _Toc175233366 \h</w:instrText>
          </w:r>
          <w:r>
            <w:rPr>
              <w:rFonts w:hint="eastAsia"/>
            </w:rPr>
            <w:instrText xml:space="preserve"> </w:instrText>
          </w:r>
          <w:r>
            <w:rPr>
              <w:rFonts w:hint="eastAsia"/>
            </w:rPr>
            <w:fldChar w:fldCharType="separate"/>
          </w:r>
          <w:r>
            <w:rPr>
              <w:rFonts w:hint="eastAsia"/>
            </w:rPr>
            <w:t>43</w:t>
          </w:r>
          <w:r>
            <w:rPr>
              <w:rFonts w:hint="eastAsia"/>
            </w:rPr>
            <w:fldChar w:fldCharType="end"/>
          </w:r>
          <w:r>
            <w:rPr>
              <w:rFonts w:hint="eastAsia"/>
            </w:rPr>
            <w:fldChar w:fldCharType="end"/>
          </w:r>
        </w:p>
        <w:p w14:paraId="0E8176E7">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"_Toc175233367" </w:instrText>
          </w:r>
          <w:r>
            <w:fldChar w:fldCharType="separate"/>
          </w:r>
          <w:r>
            <w:rPr>
              <w:rStyle w:val="40"/>
              <w:rFonts w:hint="eastAsia" w:cs="Times New Roman"/>
            </w:rPr>
            <w:t>5.6.1</w:t>
          </w:r>
          <w:r>
            <w:rPr>
              <w:rFonts w:hint="eastAsia" w:asciiTheme="minorHAnsi" w:hAnsiTheme="minorHAnsi" w:eastAsiaTheme="minorEastAsia" w:cstheme="minorBidi"/>
              <w:sz w:val="21"/>
              <w:szCs w:val="22"/>
              <w14:ligatures w14:val="standardContextual"/>
            </w:rPr>
            <w:tab/>
          </w:r>
          <w:r>
            <w:rPr>
              <w:rStyle w:val="40"/>
              <w:rFonts w:hint="eastAsia"/>
            </w:rPr>
            <w:t>警戒球机建设</w:t>
          </w:r>
          <w:r>
            <w:rPr>
              <w:rFonts w:hint="eastAsia"/>
            </w:rPr>
            <w:tab/>
          </w:r>
          <w:r>
            <w:rPr>
              <w:rFonts w:hint="eastAsia"/>
            </w:rPr>
            <w:fldChar w:fldCharType="begin"/>
          </w:r>
          <w:r>
            <w:rPr>
              <w:rFonts w:hint="eastAsia"/>
            </w:rPr>
            <w:instrText xml:space="preserve"> </w:instrText>
          </w:r>
          <w:r>
            <w:instrText xml:space="preserve">PAGEREF _Toc175233367 \h</w:instrText>
          </w:r>
          <w:r>
            <w:rPr>
              <w:rFonts w:hint="eastAsia"/>
            </w:rPr>
            <w:instrText xml:space="preserve"> </w:instrText>
          </w:r>
          <w:r>
            <w:rPr>
              <w:rFonts w:hint="eastAsia"/>
            </w:rPr>
            <w:fldChar w:fldCharType="separate"/>
          </w:r>
          <w:r>
            <w:rPr>
              <w:rFonts w:hint="eastAsia"/>
            </w:rPr>
            <w:t>43</w:t>
          </w:r>
          <w:r>
            <w:rPr>
              <w:rFonts w:hint="eastAsia"/>
            </w:rPr>
            <w:fldChar w:fldCharType="end"/>
          </w:r>
          <w:r>
            <w:rPr>
              <w:rFonts w:hint="eastAsia"/>
            </w:rPr>
            <w:fldChar w:fldCharType="end"/>
          </w:r>
        </w:p>
        <w:p w14:paraId="17BB3F5B">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"_Toc175233368" </w:instrText>
          </w:r>
          <w:r>
            <w:fldChar w:fldCharType="separate"/>
          </w:r>
          <w:r>
            <w:rPr>
              <w:rStyle w:val="40"/>
              <w:rFonts w:hint="eastAsia" w:cs="Times New Roman"/>
            </w:rPr>
            <w:t>5.6.2</w:t>
          </w:r>
          <w:r>
            <w:rPr>
              <w:rFonts w:hint="eastAsia" w:asciiTheme="minorHAnsi" w:hAnsiTheme="minorHAnsi" w:eastAsiaTheme="minorEastAsia" w:cstheme="minorBidi"/>
              <w:sz w:val="21"/>
              <w:szCs w:val="22"/>
              <w14:ligatures w14:val="standardContextual"/>
            </w:rPr>
            <w:tab/>
          </w:r>
          <w:r>
            <w:rPr>
              <w:rStyle w:val="40"/>
              <w:rFonts w:hint="eastAsia"/>
            </w:rPr>
            <w:t>无线网关建设</w:t>
          </w:r>
          <w:r>
            <w:rPr>
              <w:rFonts w:hint="eastAsia"/>
            </w:rPr>
            <w:tab/>
          </w:r>
          <w:r>
            <w:rPr>
              <w:rFonts w:hint="eastAsia"/>
            </w:rPr>
            <w:fldChar w:fldCharType="begin"/>
          </w:r>
          <w:r>
            <w:rPr>
              <w:rFonts w:hint="eastAsia"/>
            </w:rPr>
            <w:instrText xml:space="preserve"> </w:instrText>
          </w:r>
          <w:r>
            <w:instrText xml:space="preserve">PAGEREF _Toc175233368 \h</w:instrText>
          </w:r>
          <w:r>
            <w:rPr>
              <w:rFonts w:hint="eastAsia"/>
            </w:rPr>
            <w:instrText xml:space="preserve"> </w:instrText>
          </w:r>
          <w:r>
            <w:rPr>
              <w:rFonts w:hint="eastAsia"/>
            </w:rPr>
            <w:fldChar w:fldCharType="separate"/>
          </w:r>
          <w:r>
            <w:rPr>
              <w:rFonts w:hint="eastAsia"/>
            </w:rPr>
            <w:t>45</w:t>
          </w:r>
          <w:r>
            <w:rPr>
              <w:rFonts w:hint="eastAsia"/>
            </w:rPr>
            <w:fldChar w:fldCharType="end"/>
          </w:r>
          <w:r>
            <w:rPr>
              <w:rFonts w:hint="eastAsia"/>
            </w:rPr>
            <w:fldChar w:fldCharType="end"/>
          </w:r>
        </w:p>
        <w:p w14:paraId="057A4BD2">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"_Toc175233369" </w:instrText>
          </w:r>
          <w:r>
            <w:fldChar w:fldCharType="separate"/>
          </w:r>
          <w:r>
            <w:rPr>
              <w:rStyle w:val="40"/>
              <w:rFonts w:hint="eastAsia" w:cs="Times New Roman"/>
            </w:rPr>
            <w:t>5.7</w:t>
          </w:r>
          <w:r>
            <w:rPr>
              <w:rFonts w:hint="eastAsia" w:asciiTheme="minorHAnsi" w:hAnsiTheme="minorHAnsi" w:eastAsiaTheme="minorEastAsia" w:cstheme="minorBidi"/>
              <w:szCs w:val="22"/>
              <w14:ligatures w14:val="standardContextual"/>
            </w:rPr>
            <w:tab/>
          </w:r>
          <w:r>
            <w:rPr>
              <w:rStyle w:val="40"/>
              <w:rFonts w:hint="eastAsia"/>
            </w:rPr>
            <w:t>农村人畜饮水净化配套工程软件系统</w:t>
          </w:r>
          <w:r>
            <w:rPr>
              <w:rFonts w:hint="eastAsia"/>
            </w:rPr>
            <w:tab/>
          </w:r>
          <w:r>
            <w:rPr>
              <w:rFonts w:hint="eastAsia"/>
            </w:rPr>
            <w:fldChar w:fldCharType="begin"/>
          </w:r>
          <w:r>
            <w:rPr>
              <w:rFonts w:hint="eastAsia"/>
            </w:rPr>
            <w:instrText xml:space="preserve"> </w:instrText>
          </w:r>
          <w:r>
            <w:instrText xml:space="preserve">PAGEREF _Toc175233369 \h</w:instrText>
          </w:r>
          <w:r>
            <w:rPr>
              <w:rFonts w:hint="eastAsia"/>
            </w:rPr>
            <w:instrText xml:space="preserve"> </w:instrText>
          </w:r>
          <w:r>
            <w:rPr>
              <w:rFonts w:hint="eastAsia"/>
            </w:rPr>
            <w:fldChar w:fldCharType="separate"/>
          </w:r>
          <w:r>
            <w:rPr>
              <w:rFonts w:hint="eastAsia"/>
            </w:rPr>
            <w:t>45</w:t>
          </w:r>
          <w:r>
            <w:rPr>
              <w:rFonts w:hint="eastAsia"/>
            </w:rPr>
            <w:fldChar w:fldCharType="end"/>
          </w:r>
          <w:r>
            <w:rPr>
              <w:rFonts w:hint="eastAsia"/>
            </w:rPr>
            <w:fldChar w:fldCharType="end"/>
          </w:r>
        </w:p>
        <w:p w14:paraId="3FBB6EE3">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"_Toc175233370" </w:instrText>
          </w:r>
          <w:r>
            <w:fldChar w:fldCharType="separate"/>
          </w:r>
          <w:r>
            <w:rPr>
              <w:rStyle w:val="40"/>
              <w:rFonts w:hint="eastAsia" w:cs="Times New Roman"/>
            </w:rPr>
            <w:t>5.7.1</w:t>
          </w:r>
          <w:r>
            <w:rPr>
              <w:rFonts w:hint="eastAsia" w:asciiTheme="minorHAnsi" w:hAnsiTheme="minorHAnsi" w:eastAsiaTheme="minorEastAsia" w:cstheme="minorBidi"/>
              <w:sz w:val="21"/>
              <w:szCs w:val="22"/>
              <w14:ligatures w14:val="standardContextual"/>
            </w:rPr>
            <w:tab/>
          </w:r>
          <w:r>
            <w:rPr>
              <w:rStyle w:val="40"/>
              <w:rFonts w:hint="eastAsia"/>
            </w:rPr>
            <w:t>基础管理</w:t>
          </w:r>
          <w:r>
            <w:rPr>
              <w:rFonts w:hint="eastAsia"/>
            </w:rPr>
            <w:tab/>
          </w:r>
          <w:r>
            <w:rPr>
              <w:rFonts w:hint="eastAsia"/>
            </w:rPr>
            <w:fldChar w:fldCharType="begin"/>
          </w:r>
          <w:r>
            <w:rPr>
              <w:rFonts w:hint="eastAsia"/>
            </w:rPr>
            <w:instrText xml:space="preserve"> </w:instrText>
          </w:r>
          <w:r>
            <w:instrText xml:space="preserve">PAGEREF _Toc175233370 \h</w:instrText>
          </w:r>
          <w:r>
            <w:rPr>
              <w:rFonts w:hint="eastAsia"/>
            </w:rPr>
            <w:instrText xml:space="preserve"> </w:instrText>
          </w:r>
          <w:r>
            <w:rPr>
              <w:rFonts w:hint="eastAsia"/>
            </w:rPr>
            <w:fldChar w:fldCharType="separate"/>
          </w:r>
          <w:r>
            <w:rPr>
              <w:rFonts w:hint="eastAsia"/>
            </w:rPr>
            <w:t>45</w:t>
          </w:r>
          <w:r>
            <w:rPr>
              <w:rFonts w:hint="eastAsia"/>
            </w:rPr>
            <w:fldChar w:fldCharType="end"/>
          </w:r>
          <w:r>
            <w:rPr>
              <w:rFonts w:hint="eastAsia"/>
            </w:rPr>
            <w:fldChar w:fldCharType="end"/>
          </w:r>
        </w:p>
        <w:p w14:paraId="1499CBC4">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"_Toc175233371" </w:instrText>
          </w:r>
          <w:r>
            <w:fldChar w:fldCharType="separate"/>
          </w:r>
          <w:r>
            <w:rPr>
              <w:rStyle w:val="40"/>
              <w:rFonts w:hint="eastAsia" w:cs="Times New Roman"/>
            </w:rPr>
            <w:t>5.7.2</w:t>
          </w:r>
          <w:r>
            <w:rPr>
              <w:rFonts w:hint="eastAsia" w:asciiTheme="minorHAnsi" w:hAnsiTheme="minorHAnsi" w:eastAsiaTheme="minorEastAsia" w:cstheme="minorBidi"/>
              <w:sz w:val="21"/>
              <w:szCs w:val="22"/>
              <w14:ligatures w14:val="standardContextual"/>
            </w:rPr>
            <w:tab/>
          </w:r>
          <w:r>
            <w:rPr>
              <w:rStyle w:val="40"/>
              <w:rFonts w:hint="eastAsia"/>
            </w:rPr>
            <w:t>水质在线监测及视频联动报警系统</w:t>
          </w:r>
          <w:r>
            <w:rPr>
              <w:rFonts w:hint="eastAsia"/>
            </w:rPr>
            <w:tab/>
          </w:r>
          <w:r>
            <w:rPr>
              <w:rFonts w:hint="eastAsia"/>
            </w:rPr>
            <w:fldChar w:fldCharType="begin"/>
          </w:r>
          <w:r>
            <w:rPr>
              <w:rFonts w:hint="eastAsia"/>
            </w:rPr>
            <w:instrText xml:space="preserve"> </w:instrText>
          </w:r>
          <w:r>
            <w:instrText xml:space="preserve">PAGEREF _Toc175233371 \h</w:instrText>
          </w:r>
          <w:r>
            <w:rPr>
              <w:rFonts w:hint="eastAsia"/>
            </w:rPr>
            <w:instrText xml:space="preserve"> </w:instrText>
          </w:r>
          <w:r>
            <w:rPr>
              <w:rFonts w:hint="eastAsia"/>
            </w:rPr>
            <w:fldChar w:fldCharType="separate"/>
          </w:r>
          <w:r>
            <w:rPr>
              <w:rFonts w:hint="eastAsia"/>
            </w:rPr>
            <w:t>49</w:t>
          </w:r>
          <w:r>
            <w:rPr>
              <w:rFonts w:hint="eastAsia"/>
            </w:rPr>
            <w:fldChar w:fldCharType="end"/>
          </w:r>
          <w:r>
            <w:rPr>
              <w:rFonts w:hint="eastAsia"/>
            </w:rPr>
            <w:fldChar w:fldCharType="end"/>
          </w:r>
        </w:p>
        <w:p w14:paraId="6B2AD4C0">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"_Toc175233372" </w:instrText>
          </w:r>
          <w:r>
            <w:fldChar w:fldCharType="separate"/>
          </w:r>
          <w:r>
            <w:rPr>
              <w:rStyle w:val="40"/>
              <w:rFonts w:hint="eastAsia" w:cs="Times New Roman"/>
            </w:rPr>
            <w:t>5.7.3</w:t>
          </w:r>
          <w:r>
            <w:rPr>
              <w:rFonts w:hint="eastAsia" w:asciiTheme="minorHAnsi" w:hAnsiTheme="minorHAnsi" w:eastAsiaTheme="minorEastAsia" w:cstheme="minorBidi"/>
              <w:sz w:val="21"/>
              <w:szCs w:val="22"/>
              <w14:ligatures w14:val="standardContextual"/>
            </w:rPr>
            <w:tab/>
          </w:r>
          <w:r>
            <w:rPr>
              <w:rStyle w:val="40"/>
              <w:rFonts w:hint="eastAsia"/>
            </w:rPr>
            <w:t>视频监控及算法自动报警系统</w:t>
          </w:r>
          <w:r>
            <w:rPr>
              <w:rFonts w:hint="eastAsia"/>
            </w:rPr>
            <w:tab/>
          </w:r>
          <w:r>
            <w:rPr>
              <w:rFonts w:hint="eastAsia"/>
            </w:rPr>
            <w:fldChar w:fldCharType="begin"/>
          </w:r>
          <w:r>
            <w:rPr>
              <w:rFonts w:hint="eastAsia"/>
            </w:rPr>
            <w:instrText xml:space="preserve"> </w:instrText>
          </w:r>
          <w:r>
            <w:instrText xml:space="preserve">PAGEREF _Toc175233372 \h</w:instrText>
          </w:r>
          <w:r>
            <w:rPr>
              <w:rFonts w:hint="eastAsia"/>
            </w:rPr>
            <w:instrText xml:space="preserve"> </w:instrText>
          </w:r>
          <w:r>
            <w:rPr>
              <w:rFonts w:hint="eastAsia"/>
            </w:rPr>
            <w:fldChar w:fldCharType="separate"/>
          </w:r>
          <w:r>
            <w:rPr>
              <w:rFonts w:hint="eastAsia"/>
            </w:rPr>
            <w:t>50</w:t>
          </w:r>
          <w:r>
            <w:rPr>
              <w:rFonts w:hint="eastAsia"/>
            </w:rPr>
            <w:fldChar w:fldCharType="end"/>
          </w:r>
          <w:r>
            <w:rPr>
              <w:rFonts w:hint="eastAsia"/>
            </w:rPr>
            <w:fldChar w:fldCharType="end"/>
          </w:r>
        </w:p>
        <w:p w14:paraId="6530AC94">
          <w:pPr>
            <w:pStyle w:val="25"/>
            <w:tabs>
              <w:tab w:val="right" w:leader="dot" w:pos="8296"/>
            </w:tabs>
            <w:rPr>
              <w:rFonts w:hint="eastAsia" w:asciiTheme="minorHAnsi" w:hAnsiTheme="minorHAnsi" w:eastAsiaTheme="minorEastAsia" w:cstheme="minorBidi"/>
              <w:b w:val="0"/>
              <w:sz w:val="21"/>
              <w:szCs w:val="22"/>
              <w14:ligatures w14:val="standardContextual"/>
            </w:rPr>
          </w:pPr>
          <w:r>
            <w:fldChar w:fldCharType="begin"/>
          </w:r>
          <w:r>
            <w:instrText xml:space="preserve"> HYPERLINK \l "_Toc175233373" </w:instrText>
          </w:r>
          <w:r>
            <w:fldChar w:fldCharType="separate"/>
          </w:r>
          <w:r>
            <w:rPr>
              <w:rStyle w:val="40"/>
              <w:rFonts w:hint="eastAsia" w:hAnsi="仿宋"/>
            </w:rPr>
            <w:t>第六章</w:t>
          </w:r>
          <w:r>
            <w:rPr>
              <w:rStyle w:val="40"/>
              <w:rFonts w:hint="eastAsia"/>
            </w:rPr>
            <w:t xml:space="preserve"> 项目施工组织设计</w:t>
          </w:r>
          <w:r>
            <w:rPr>
              <w:rFonts w:hint="eastAsia"/>
            </w:rPr>
            <w:tab/>
          </w:r>
          <w:r>
            <w:rPr>
              <w:rFonts w:hint="eastAsia"/>
            </w:rPr>
            <w:fldChar w:fldCharType="begin"/>
          </w:r>
          <w:r>
            <w:rPr>
              <w:rFonts w:hint="eastAsia"/>
            </w:rPr>
            <w:instrText xml:space="preserve"> </w:instrText>
          </w:r>
          <w:r>
            <w:instrText xml:space="preserve">PAGEREF _Toc175233373 \h</w:instrText>
          </w:r>
          <w:r>
            <w:rPr>
              <w:rFonts w:hint="eastAsia"/>
            </w:rPr>
            <w:instrText xml:space="preserve"> </w:instrText>
          </w:r>
          <w:r>
            <w:rPr>
              <w:rFonts w:hint="eastAsia"/>
            </w:rPr>
            <w:fldChar w:fldCharType="separate"/>
          </w:r>
          <w:r>
            <w:rPr>
              <w:rFonts w:hint="eastAsia"/>
            </w:rPr>
            <w:t>54</w:t>
          </w:r>
          <w:r>
            <w:rPr>
              <w:rFonts w:hint="eastAsia"/>
            </w:rPr>
            <w:fldChar w:fldCharType="end"/>
          </w:r>
          <w:r>
            <w:rPr>
              <w:rFonts w:hint="eastAsia"/>
            </w:rPr>
            <w:fldChar w:fldCharType="end"/>
          </w:r>
        </w:p>
        <w:p w14:paraId="17599A16">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"_Toc175233374" </w:instrText>
          </w:r>
          <w:r>
            <w:fldChar w:fldCharType="separate"/>
          </w:r>
          <w:r>
            <w:rPr>
              <w:rStyle w:val="40"/>
              <w:rFonts w:hint="eastAsia" w:cs="Times New Roman"/>
            </w:rPr>
            <w:t>6.1</w:t>
          </w:r>
          <w:r>
            <w:rPr>
              <w:rFonts w:hint="eastAsia" w:asciiTheme="minorHAnsi" w:hAnsiTheme="minorHAnsi" w:eastAsiaTheme="minorEastAsia" w:cstheme="minorBidi"/>
              <w:szCs w:val="22"/>
              <w14:ligatures w14:val="standardContextual"/>
            </w:rPr>
            <w:tab/>
          </w:r>
          <w:r>
            <w:rPr>
              <w:rStyle w:val="40"/>
              <w:rFonts w:hint="eastAsia"/>
            </w:rPr>
            <w:t>项目施工前准备</w:t>
          </w:r>
          <w:r>
            <w:rPr>
              <w:rFonts w:hint="eastAsia"/>
            </w:rPr>
            <w:tab/>
          </w:r>
          <w:r>
            <w:rPr>
              <w:rFonts w:hint="eastAsia"/>
            </w:rPr>
            <w:fldChar w:fldCharType="begin"/>
          </w:r>
          <w:r>
            <w:rPr>
              <w:rFonts w:hint="eastAsia"/>
            </w:rPr>
            <w:instrText xml:space="preserve"> </w:instrText>
          </w:r>
          <w:r>
            <w:instrText xml:space="preserve">PAGEREF _Toc175233374 \h</w:instrText>
          </w:r>
          <w:r>
            <w:rPr>
              <w:rFonts w:hint="eastAsia"/>
            </w:rPr>
            <w:instrText xml:space="preserve"> </w:instrText>
          </w:r>
          <w:r>
            <w:rPr>
              <w:rFonts w:hint="eastAsia"/>
            </w:rPr>
            <w:fldChar w:fldCharType="separate"/>
          </w:r>
          <w:r>
            <w:rPr>
              <w:rFonts w:hint="eastAsia"/>
            </w:rPr>
            <w:t>54</w:t>
          </w:r>
          <w:r>
            <w:rPr>
              <w:rFonts w:hint="eastAsia"/>
            </w:rPr>
            <w:fldChar w:fldCharType="end"/>
          </w:r>
          <w:r>
            <w:rPr>
              <w:rFonts w:hint="eastAsia"/>
            </w:rPr>
            <w:fldChar w:fldCharType="end"/>
          </w:r>
        </w:p>
        <w:p w14:paraId="6378FC2E">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"_Toc175233375" </w:instrText>
          </w:r>
          <w:r>
            <w:fldChar w:fldCharType="separate"/>
          </w:r>
          <w:r>
            <w:rPr>
              <w:rStyle w:val="40"/>
              <w:rFonts w:hint="eastAsia" w:cs="Times New Roman"/>
            </w:rPr>
            <w:t>6.2</w:t>
          </w:r>
          <w:r>
            <w:rPr>
              <w:rFonts w:hint="eastAsia" w:asciiTheme="minorHAnsi" w:hAnsiTheme="minorHAnsi" w:eastAsiaTheme="minorEastAsia" w:cstheme="minorBidi"/>
              <w:szCs w:val="22"/>
              <w14:ligatures w14:val="standardContextual"/>
            </w:rPr>
            <w:tab/>
          </w:r>
          <w:r>
            <w:rPr>
              <w:rStyle w:val="40"/>
              <w:rFonts w:hint="eastAsia"/>
            </w:rPr>
            <w:t>项目施工人员</w:t>
          </w:r>
          <w:r>
            <w:rPr>
              <w:rFonts w:hint="eastAsia"/>
            </w:rPr>
            <w:tab/>
          </w:r>
          <w:r>
            <w:rPr>
              <w:rFonts w:hint="eastAsia"/>
            </w:rPr>
            <w:fldChar w:fldCharType="begin"/>
          </w:r>
          <w:r>
            <w:rPr>
              <w:rFonts w:hint="eastAsia"/>
            </w:rPr>
            <w:instrText xml:space="preserve"> </w:instrText>
          </w:r>
          <w:r>
            <w:instrText xml:space="preserve">PAGEREF _Toc175233375 \h</w:instrText>
          </w:r>
          <w:r>
            <w:rPr>
              <w:rFonts w:hint="eastAsia"/>
            </w:rPr>
            <w:instrText xml:space="preserve"> </w:instrText>
          </w:r>
          <w:r>
            <w:rPr>
              <w:rFonts w:hint="eastAsia"/>
            </w:rPr>
            <w:fldChar w:fldCharType="separate"/>
          </w:r>
          <w:r>
            <w:rPr>
              <w:rFonts w:hint="eastAsia"/>
            </w:rPr>
            <w:t>54</w:t>
          </w:r>
          <w:r>
            <w:rPr>
              <w:rFonts w:hint="eastAsia"/>
            </w:rPr>
            <w:fldChar w:fldCharType="end"/>
          </w:r>
          <w:r>
            <w:rPr>
              <w:rFonts w:hint="eastAsia"/>
            </w:rPr>
            <w:fldChar w:fldCharType="end"/>
          </w:r>
        </w:p>
        <w:p w14:paraId="336F67C6">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"_Toc175233376" </w:instrText>
          </w:r>
          <w:r>
            <w:fldChar w:fldCharType="separate"/>
          </w:r>
          <w:r>
            <w:rPr>
              <w:rStyle w:val="40"/>
              <w:rFonts w:hint="eastAsia" w:cs="Times New Roman"/>
            </w:rPr>
            <w:t>6.3</w:t>
          </w:r>
          <w:r>
            <w:rPr>
              <w:rFonts w:hint="eastAsia" w:asciiTheme="minorHAnsi" w:hAnsiTheme="minorHAnsi" w:eastAsiaTheme="minorEastAsia" w:cstheme="minorBidi"/>
              <w:szCs w:val="22"/>
              <w14:ligatures w14:val="standardContextual"/>
            </w:rPr>
            <w:tab/>
          </w:r>
          <w:r>
            <w:rPr>
              <w:rStyle w:val="40"/>
              <w:rFonts w:hint="eastAsia"/>
            </w:rPr>
            <w:t>项目施工计划</w:t>
          </w:r>
          <w:r>
            <w:rPr>
              <w:rFonts w:hint="eastAsia"/>
            </w:rPr>
            <w:tab/>
          </w:r>
          <w:r>
            <w:rPr>
              <w:rFonts w:hint="eastAsia"/>
            </w:rPr>
            <w:fldChar w:fldCharType="begin"/>
          </w:r>
          <w:r>
            <w:rPr>
              <w:rFonts w:hint="eastAsia"/>
            </w:rPr>
            <w:instrText xml:space="preserve"> </w:instrText>
          </w:r>
          <w:r>
            <w:instrText xml:space="preserve">PAGEREF _Toc175233376 \h</w:instrText>
          </w:r>
          <w:r>
            <w:rPr>
              <w:rFonts w:hint="eastAsia"/>
            </w:rPr>
            <w:instrText xml:space="preserve"> </w:instrText>
          </w:r>
          <w:r>
            <w:rPr>
              <w:rFonts w:hint="eastAsia"/>
            </w:rPr>
            <w:fldChar w:fldCharType="separate"/>
          </w:r>
          <w:r>
            <w:rPr>
              <w:rFonts w:hint="eastAsia"/>
            </w:rPr>
            <w:t>54</w:t>
          </w:r>
          <w:r>
            <w:rPr>
              <w:rFonts w:hint="eastAsia"/>
            </w:rPr>
            <w:fldChar w:fldCharType="end"/>
          </w:r>
          <w:r>
            <w:rPr>
              <w:rFonts w:hint="eastAsia"/>
            </w:rPr>
            <w:fldChar w:fldCharType="end"/>
          </w:r>
        </w:p>
        <w:p w14:paraId="53ECE275">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"_Toc175233377" </w:instrText>
          </w:r>
          <w:r>
            <w:fldChar w:fldCharType="separate"/>
          </w:r>
          <w:r>
            <w:rPr>
              <w:rStyle w:val="40"/>
              <w:rFonts w:hint="eastAsia" w:cs="Times New Roman"/>
            </w:rPr>
            <w:t>6.4</w:t>
          </w:r>
          <w:r>
            <w:rPr>
              <w:rFonts w:hint="eastAsia" w:asciiTheme="minorHAnsi" w:hAnsiTheme="minorHAnsi" w:eastAsiaTheme="minorEastAsia" w:cstheme="minorBidi"/>
              <w:szCs w:val="22"/>
              <w14:ligatures w14:val="standardContextual"/>
            </w:rPr>
            <w:tab/>
          </w:r>
          <w:r>
            <w:rPr>
              <w:rStyle w:val="40"/>
              <w:rFonts w:hint="eastAsia"/>
            </w:rPr>
            <w:t>项目施工进度</w:t>
          </w:r>
          <w:r>
            <w:rPr>
              <w:rFonts w:hint="eastAsia"/>
            </w:rPr>
            <w:tab/>
          </w:r>
          <w:r>
            <w:rPr>
              <w:rFonts w:hint="eastAsia"/>
            </w:rPr>
            <w:fldChar w:fldCharType="begin"/>
          </w:r>
          <w:r>
            <w:rPr>
              <w:rFonts w:hint="eastAsia"/>
            </w:rPr>
            <w:instrText xml:space="preserve"> </w:instrText>
          </w:r>
          <w:r>
            <w:instrText xml:space="preserve">PAGEREF _Toc175233377 \h</w:instrText>
          </w:r>
          <w:r>
            <w:rPr>
              <w:rFonts w:hint="eastAsia"/>
            </w:rPr>
            <w:instrText xml:space="preserve"> </w:instrText>
          </w:r>
          <w:r>
            <w:rPr>
              <w:rFonts w:hint="eastAsia"/>
            </w:rPr>
            <w:fldChar w:fldCharType="separate"/>
          </w:r>
          <w:r>
            <w:rPr>
              <w:rFonts w:hint="eastAsia"/>
            </w:rPr>
            <w:t>55</w:t>
          </w:r>
          <w:r>
            <w:rPr>
              <w:rFonts w:hint="eastAsia"/>
            </w:rPr>
            <w:fldChar w:fldCharType="end"/>
          </w:r>
          <w:r>
            <w:rPr>
              <w:rFonts w:hint="eastAsia"/>
            </w:rPr>
            <w:fldChar w:fldCharType="end"/>
          </w:r>
        </w:p>
        <w:p w14:paraId="41B87FF1">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"_Toc175233378" </w:instrText>
          </w:r>
          <w:r>
            <w:fldChar w:fldCharType="separate"/>
          </w:r>
          <w:r>
            <w:rPr>
              <w:rStyle w:val="40"/>
              <w:rFonts w:hint="eastAsia" w:cs="Times New Roman"/>
            </w:rPr>
            <w:t>6.4.1</w:t>
          </w:r>
          <w:r>
            <w:rPr>
              <w:rFonts w:hint="eastAsia" w:asciiTheme="minorHAnsi" w:hAnsiTheme="minorHAnsi" w:eastAsiaTheme="minorEastAsia" w:cstheme="minorBidi"/>
              <w:sz w:val="21"/>
              <w:szCs w:val="22"/>
              <w14:ligatures w14:val="standardContextual"/>
            </w:rPr>
            <w:tab/>
          </w:r>
          <w:r>
            <w:rPr>
              <w:rStyle w:val="40"/>
              <w:rFonts w:hint="eastAsia"/>
            </w:rPr>
            <w:t>项目计划工期</w:t>
          </w:r>
          <w:r>
            <w:rPr>
              <w:rFonts w:hint="eastAsia"/>
            </w:rPr>
            <w:tab/>
          </w:r>
          <w:r>
            <w:rPr>
              <w:rFonts w:hint="eastAsia"/>
            </w:rPr>
            <w:fldChar w:fldCharType="begin"/>
          </w:r>
          <w:r>
            <w:rPr>
              <w:rFonts w:hint="eastAsia"/>
            </w:rPr>
            <w:instrText xml:space="preserve"> </w:instrText>
          </w:r>
          <w:r>
            <w:instrText xml:space="preserve">PAGEREF _Toc175233378 \h</w:instrText>
          </w:r>
          <w:r>
            <w:rPr>
              <w:rFonts w:hint="eastAsia"/>
            </w:rPr>
            <w:instrText xml:space="preserve"> </w:instrText>
          </w:r>
          <w:r>
            <w:rPr>
              <w:rFonts w:hint="eastAsia"/>
            </w:rPr>
            <w:fldChar w:fldCharType="separate"/>
          </w:r>
          <w:r>
            <w:rPr>
              <w:rFonts w:hint="eastAsia"/>
            </w:rPr>
            <w:t>55</w:t>
          </w:r>
          <w:r>
            <w:rPr>
              <w:rFonts w:hint="eastAsia"/>
            </w:rPr>
            <w:fldChar w:fldCharType="end"/>
          </w:r>
          <w:r>
            <w:rPr>
              <w:rFonts w:hint="eastAsia"/>
            </w:rPr>
            <w:fldChar w:fldCharType="end"/>
          </w:r>
        </w:p>
        <w:p w14:paraId="5E11076E">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"_Toc175233379" </w:instrText>
          </w:r>
          <w:r>
            <w:fldChar w:fldCharType="separate"/>
          </w:r>
          <w:r>
            <w:rPr>
              <w:rStyle w:val="40"/>
              <w:rFonts w:hint="eastAsia" w:cs="Times New Roman"/>
            </w:rPr>
            <w:t>6.4.2</w:t>
          </w:r>
          <w:r>
            <w:rPr>
              <w:rFonts w:hint="eastAsia" w:asciiTheme="minorHAnsi" w:hAnsiTheme="minorHAnsi" w:eastAsiaTheme="minorEastAsia" w:cstheme="minorBidi"/>
              <w:sz w:val="21"/>
              <w:szCs w:val="22"/>
              <w14:ligatures w14:val="standardContextual"/>
            </w:rPr>
            <w:tab/>
          </w:r>
          <w:r>
            <w:rPr>
              <w:rStyle w:val="40"/>
              <w:rFonts w:hint="eastAsia"/>
            </w:rPr>
            <w:t>施工进度计划</w:t>
          </w:r>
          <w:r>
            <w:rPr>
              <w:rFonts w:hint="eastAsia"/>
            </w:rPr>
            <w:tab/>
          </w:r>
          <w:r>
            <w:rPr>
              <w:rFonts w:hint="eastAsia"/>
            </w:rPr>
            <w:fldChar w:fldCharType="begin"/>
          </w:r>
          <w:r>
            <w:rPr>
              <w:rFonts w:hint="eastAsia"/>
            </w:rPr>
            <w:instrText xml:space="preserve"> </w:instrText>
          </w:r>
          <w:r>
            <w:instrText xml:space="preserve">PAGEREF _Toc175233379 \h</w:instrText>
          </w:r>
          <w:r>
            <w:rPr>
              <w:rFonts w:hint="eastAsia"/>
            </w:rPr>
            <w:instrText xml:space="preserve"> </w:instrText>
          </w:r>
          <w:r>
            <w:rPr>
              <w:rFonts w:hint="eastAsia"/>
            </w:rPr>
            <w:fldChar w:fldCharType="separate"/>
          </w:r>
          <w:r>
            <w:rPr>
              <w:rFonts w:hint="eastAsia"/>
            </w:rPr>
            <w:t>55</w:t>
          </w:r>
          <w:r>
            <w:rPr>
              <w:rFonts w:hint="eastAsia"/>
            </w:rPr>
            <w:fldChar w:fldCharType="end"/>
          </w:r>
          <w:r>
            <w:rPr>
              <w:rFonts w:hint="eastAsia"/>
            </w:rPr>
            <w:fldChar w:fldCharType="end"/>
          </w:r>
        </w:p>
        <w:p w14:paraId="4E5700B8">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"_Toc175233380" </w:instrText>
          </w:r>
          <w:r>
            <w:fldChar w:fldCharType="separate"/>
          </w:r>
          <w:r>
            <w:rPr>
              <w:rStyle w:val="40"/>
              <w:rFonts w:hint="eastAsia" w:cs="Times New Roman"/>
            </w:rPr>
            <w:t>6.5</w:t>
          </w:r>
          <w:r>
            <w:rPr>
              <w:rFonts w:hint="eastAsia" w:asciiTheme="minorHAnsi" w:hAnsiTheme="minorHAnsi" w:eastAsiaTheme="minorEastAsia" w:cstheme="minorBidi"/>
              <w:szCs w:val="22"/>
              <w14:ligatures w14:val="standardContextual"/>
            </w:rPr>
            <w:tab/>
          </w:r>
          <w:r>
            <w:rPr>
              <w:rStyle w:val="40"/>
              <w:rFonts w:hint="eastAsia"/>
            </w:rPr>
            <w:t>施工进度控制</w:t>
          </w:r>
          <w:r>
            <w:rPr>
              <w:rFonts w:hint="eastAsia"/>
            </w:rPr>
            <w:tab/>
          </w:r>
          <w:r>
            <w:rPr>
              <w:rFonts w:hint="eastAsia"/>
            </w:rPr>
            <w:fldChar w:fldCharType="begin"/>
          </w:r>
          <w:r>
            <w:rPr>
              <w:rFonts w:hint="eastAsia"/>
            </w:rPr>
            <w:instrText xml:space="preserve"> </w:instrText>
          </w:r>
          <w:r>
            <w:instrText xml:space="preserve">PAGEREF _Toc175233380 \h</w:instrText>
          </w:r>
          <w:r>
            <w:rPr>
              <w:rFonts w:hint="eastAsia"/>
            </w:rPr>
            <w:instrText xml:space="preserve"> </w:instrText>
          </w:r>
          <w:r>
            <w:rPr>
              <w:rFonts w:hint="eastAsia"/>
            </w:rPr>
            <w:fldChar w:fldCharType="separate"/>
          </w:r>
          <w:r>
            <w:rPr>
              <w:rFonts w:hint="eastAsia"/>
            </w:rPr>
            <w:t>56</w:t>
          </w:r>
          <w:r>
            <w:rPr>
              <w:rFonts w:hint="eastAsia"/>
            </w:rPr>
            <w:fldChar w:fldCharType="end"/>
          </w:r>
          <w:r>
            <w:rPr>
              <w:rFonts w:hint="eastAsia"/>
            </w:rPr>
            <w:fldChar w:fldCharType="end"/>
          </w:r>
        </w:p>
        <w:p w14:paraId="7AC3730C">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"_Toc175233381" </w:instrText>
          </w:r>
          <w:r>
            <w:fldChar w:fldCharType="separate"/>
          </w:r>
          <w:r>
            <w:rPr>
              <w:rStyle w:val="40"/>
              <w:rFonts w:hint="eastAsia" w:cs="Times New Roman"/>
            </w:rPr>
            <w:t>6.6</w:t>
          </w:r>
          <w:r>
            <w:rPr>
              <w:rFonts w:hint="eastAsia" w:asciiTheme="minorHAnsi" w:hAnsiTheme="minorHAnsi" w:eastAsiaTheme="minorEastAsia" w:cstheme="minorBidi"/>
              <w:szCs w:val="22"/>
              <w14:ligatures w14:val="standardContextual"/>
            </w:rPr>
            <w:tab/>
          </w:r>
          <w:r>
            <w:rPr>
              <w:rStyle w:val="40"/>
              <w:rFonts w:hint="eastAsia"/>
            </w:rPr>
            <w:t>施工质量控制</w:t>
          </w:r>
          <w:r>
            <w:rPr>
              <w:rFonts w:hint="eastAsia"/>
            </w:rPr>
            <w:tab/>
          </w:r>
          <w:r>
            <w:rPr>
              <w:rFonts w:hint="eastAsia"/>
            </w:rPr>
            <w:fldChar w:fldCharType="begin"/>
          </w:r>
          <w:r>
            <w:rPr>
              <w:rFonts w:hint="eastAsia"/>
            </w:rPr>
            <w:instrText xml:space="preserve"> </w:instrText>
          </w:r>
          <w:r>
            <w:instrText xml:space="preserve">PAGEREF _Toc175233381 \h</w:instrText>
          </w:r>
          <w:r>
            <w:rPr>
              <w:rFonts w:hint="eastAsia"/>
            </w:rPr>
            <w:instrText xml:space="preserve"> </w:instrText>
          </w:r>
          <w:r>
            <w:rPr>
              <w:rFonts w:hint="eastAsia"/>
            </w:rPr>
            <w:fldChar w:fldCharType="separate"/>
          </w:r>
          <w:r>
            <w:rPr>
              <w:rFonts w:hint="eastAsia"/>
            </w:rPr>
            <w:t>56</w:t>
          </w:r>
          <w:r>
            <w:rPr>
              <w:rFonts w:hint="eastAsia"/>
            </w:rPr>
            <w:fldChar w:fldCharType="end"/>
          </w:r>
          <w:r>
            <w:rPr>
              <w:rFonts w:hint="eastAsia"/>
            </w:rPr>
            <w:fldChar w:fldCharType="end"/>
          </w:r>
        </w:p>
        <w:p w14:paraId="37219C41">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"_Toc175233382" </w:instrText>
          </w:r>
          <w:r>
            <w:fldChar w:fldCharType="separate"/>
          </w:r>
          <w:r>
            <w:rPr>
              <w:rStyle w:val="40"/>
              <w:rFonts w:hint="eastAsia" w:cs="Times New Roman"/>
            </w:rPr>
            <w:t>6.7</w:t>
          </w:r>
          <w:r>
            <w:rPr>
              <w:rFonts w:hint="eastAsia" w:asciiTheme="minorHAnsi" w:hAnsiTheme="minorHAnsi" w:eastAsiaTheme="minorEastAsia" w:cstheme="minorBidi"/>
              <w:szCs w:val="22"/>
              <w14:ligatures w14:val="standardContextual"/>
            </w:rPr>
            <w:tab/>
          </w:r>
          <w:r>
            <w:rPr>
              <w:rStyle w:val="40"/>
              <w:rFonts w:hint="eastAsia"/>
            </w:rPr>
            <w:t>安全文明施工</w:t>
          </w:r>
          <w:r>
            <w:rPr>
              <w:rFonts w:hint="eastAsia"/>
            </w:rPr>
            <w:tab/>
          </w:r>
          <w:r>
            <w:rPr>
              <w:rFonts w:hint="eastAsia"/>
            </w:rPr>
            <w:fldChar w:fldCharType="begin"/>
          </w:r>
          <w:r>
            <w:rPr>
              <w:rFonts w:hint="eastAsia"/>
            </w:rPr>
            <w:instrText xml:space="preserve"> </w:instrText>
          </w:r>
          <w:r>
            <w:instrText xml:space="preserve">PAGEREF _Toc175233382 \h</w:instrText>
          </w:r>
          <w:r>
            <w:rPr>
              <w:rFonts w:hint="eastAsia"/>
            </w:rPr>
            <w:instrText xml:space="preserve"> </w:instrText>
          </w:r>
          <w:r>
            <w:rPr>
              <w:rFonts w:hint="eastAsia"/>
            </w:rPr>
            <w:fldChar w:fldCharType="separate"/>
          </w:r>
          <w:r>
            <w:rPr>
              <w:rFonts w:hint="eastAsia"/>
            </w:rPr>
            <w:t>56</w:t>
          </w:r>
          <w:r>
            <w:rPr>
              <w:rFonts w:hint="eastAsia"/>
            </w:rPr>
            <w:fldChar w:fldCharType="end"/>
          </w:r>
          <w:r>
            <w:rPr>
              <w:rFonts w:hint="eastAsia"/>
            </w:rPr>
            <w:fldChar w:fldCharType="end"/>
          </w:r>
        </w:p>
        <w:p w14:paraId="1F743E0F">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"_Toc175233383" </w:instrText>
          </w:r>
          <w:r>
            <w:fldChar w:fldCharType="separate"/>
          </w:r>
          <w:r>
            <w:rPr>
              <w:rStyle w:val="40"/>
              <w:rFonts w:hint="eastAsia" w:cs="Times New Roman"/>
            </w:rPr>
            <w:t>6.8</w:t>
          </w:r>
          <w:r>
            <w:rPr>
              <w:rFonts w:hint="eastAsia" w:asciiTheme="minorHAnsi" w:hAnsiTheme="minorHAnsi" w:eastAsiaTheme="minorEastAsia" w:cstheme="minorBidi"/>
              <w:szCs w:val="22"/>
              <w14:ligatures w14:val="standardContextual"/>
            </w:rPr>
            <w:tab/>
          </w:r>
          <w:r>
            <w:rPr>
              <w:rStyle w:val="40"/>
              <w:rFonts w:hint="eastAsia"/>
            </w:rPr>
            <w:t>项目调试计划</w:t>
          </w:r>
          <w:r>
            <w:rPr>
              <w:rFonts w:hint="eastAsia"/>
            </w:rPr>
            <w:tab/>
          </w:r>
          <w:r>
            <w:rPr>
              <w:rFonts w:hint="eastAsia"/>
            </w:rPr>
            <w:fldChar w:fldCharType="begin"/>
          </w:r>
          <w:r>
            <w:rPr>
              <w:rFonts w:hint="eastAsia"/>
            </w:rPr>
            <w:instrText xml:space="preserve"> </w:instrText>
          </w:r>
          <w:r>
            <w:instrText xml:space="preserve">PAGEREF _Toc175233383 \h</w:instrText>
          </w:r>
          <w:r>
            <w:rPr>
              <w:rFonts w:hint="eastAsia"/>
            </w:rPr>
            <w:instrText xml:space="preserve"> </w:instrText>
          </w:r>
          <w:r>
            <w:rPr>
              <w:rFonts w:hint="eastAsia"/>
            </w:rPr>
            <w:fldChar w:fldCharType="separate"/>
          </w:r>
          <w:r>
            <w:rPr>
              <w:rFonts w:hint="eastAsia"/>
            </w:rPr>
            <w:t>57</w:t>
          </w:r>
          <w:r>
            <w:rPr>
              <w:rFonts w:hint="eastAsia"/>
            </w:rPr>
            <w:fldChar w:fldCharType="end"/>
          </w:r>
          <w:r>
            <w:rPr>
              <w:rFonts w:hint="eastAsia"/>
            </w:rPr>
            <w:fldChar w:fldCharType="end"/>
          </w:r>
        </w:p>
        <w:p w14:paraId="497D9420">
          <w:pPr>
            <w:pStyle w:val="25"/>
            <w:tabs>
              <w:tab w:val="right" w:leader="dot" w:pos="8296"/>
            </w:tabs>
            <w:rPr>
              <w:rFonts w:hint="eastAsia" w:asciiTheme="minorHAnsi" w:hAnsiTheme="minorHAnsi" w:eastAsiaTheme="minorEastAsia" w:cstheme="minorBidi"/>
              <w:b w:val="0"/>
              <w:sz w:val="21"/>
              <w:szCs w:val="22"/>
              <w14:ligatures w14:val="standardContextual"/>
            </w:rPr>
          </w:pPr>
          <w:r>
            <w:fldChar w:fldCharType="begin"/>
          </w:r>
          <w:r>
            <w:instrText xml:space="preserve"> HYPERLINK \l "_Toc175233384" </w:instrText>
          </w:r>
          <w:r>
            <w:fldChar w:fldCharType="separate"/>
          </w:r>
          <w:r>
            <w:rPr>
              <w:rStyle w:val="40"/>
              <w:rFonts w:hint="eastAsia" w:hAnsi="仿宋"/>
            </w:rPr>
            <w:t>第七章</w:t>
          </w:r>
          <w:r>
            <w:rPr>
              <w:rStyle w:val="40"/>
              <w:rFonts w:hint="eastAsia"/>
            </w:rPr>
            <w:t xml:space="preserve"> 项目工程管理</w:t>
          </w:r>
          <w:r>
            <w:rPr>
              <w:rFonts w:hint="eastAsia"/>
            </w:rPr>
            <w:tab/>
          </w:r>
          <w:r>
            <w:rPr>
              <w:rFonts w:hint="eastAsia"/>
            </w:rPr>
            <w:fldChar w:fldCharType="begin"/>
          </w:r>
          <w:r>
            <w:rPr>
              <w:rFonts w:hint="eastAsia"/>
            </w:rPr>
            <w:instrText xml:space="preserve"> </w:instrText>
          </w:r>
          <w:r>
            <w:instrText xml:space="preserve">PAGEREF _Toc175233384 \h</w:instrText>
          </w:r>
          <w:r>
            <w:rPr>
              <w:rFonts w:hint="eastAsia"/>
            </w:rPr>
            <w:instrText xml:space="preserve"> </w:instrText>
          </w:r>
          <w:r>
            <w:rPr>
              <w:rFonts w:hint="eastAsia"/>
            </w:rPr>
            <w:fldChar w:fldCharType="separate"/>
          </w:r>
          <w:r>
            <w:rPr>
              <w:rFonts w:hint="eastAsia"/>
            </w:rPr>
            <w:t>58</w:t>
          </w:r>
          <w:r>
            <w:rPr>
              <w:rFonts w:hint="eastAsia"/>
            </w:rPr>
            <w:fldChar w:fldCharType="end"/>
          </w:r>
          <w:r>
            <w:rPr>
              <w:rFonts w:hint="eastAsia"/>
            </w:rPr>
            <w:fldChar w:fldCharType="end"/>
          </w:r>
        </w:p>
        <w:p w14:paraId="71A85ED2">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"_Toc175233385" </w:instrText>
          </w:r>
          <w:r>
            <w:fldChar w:fldCharType="separate"/>
          </w:r>
          <w:r>
            <w:rPr>
              <w:rStyle w:val="40"/>
              <w:rFonts w:hint="eastAsia" w:cs="Times New Roman"/>
            </w:rPr>
            <w:t>7.1</w:t>
          </w:r>
          <w:r>
            <w:rPr>
              <w:rFonts w:hint="eastAsia" w:asciiTheme="minorHAnsi" w:hAnsiTheme="minorHAnsi" w:eastAsiaTheme="minorEastAsia" w:cstheme="minorBidi"/>
              <w:szCs w:val="22"/>
              <w14:ligatures w14:val="standardContextual"/>
            </w:rPr>
            <w:tab/>
          </w:r>
          <w:r>
            <w:rPr>
              <w:rStyle w:val="40"/>
              <w:rFonts w:hint="eastAsia"/>
            </w:rPr>
            <w:t>建设期管理</w:t>
          </w:r>
          <w:r>
            <w:rPr>
              <w:rFonts w:hint="eastAsia"/>
            </w:rPr>
            <w:tab/>
          </w:r>
          <w:r>
            <w:rPr>
              <w:rFonts w:hint="eastAsia"/>
            </w:rPr>
            <w:fldChar w:fldCharType="begin"/>
          </w:r>
          <w:r>
            <w:rPr>
              <w:rFonts w:hint="eastAsia"/>
            </w:rPr>
            <w:instrText xml:space="preserve"> </w:instrText>
          </w:r>
          <w:r>
            <w:instrText xml:space="preserve">PAGEREF _Toc175233385 \h</w:instrText>
          </w:r>
          <w:r>
            <w:rPr>
              <w:rFonts w:hint="eastAsia"/>
            </w:rPr>
            <w:instrText xml:space="preserve"> </w:instrText>
          </w:r>
          <w:r>
            <w:rPr>
              <w:rFonts w:hint="eastAsia"/>
            </w:rPr>
            <w:fldChar w:fldCharType="separate"/>
          </w:r>
          <w:r>
            <w:rPr>
              <w:rFonts w:hint="eastAsia"/>
            </w:rPr>
            <w:t>58</w:t>
          </w:r>
          <w:r>
            <w:rPr>
              <w:rFonts w:hint="eastAsia"/>
            </w:rPr>
            <w:fldChar w:fldCharType="end"/>
          </w:r>
          <w:r>
            <w:rPr>
              <w:rFonts w:hint="eastAsia"/>
            </w:rPr>
            <w:fldChar w:fldCharType="end"/>
          </w:r>
        </w:p>
        <w:p w14:paraId="634A9E44">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"_Toc175233386" </w:instrText>
          </w:r>
          <w:r>
            <w:fldChar w:fldCharType="separate"/>
          </w:r>
          <w:r>
            <w:rPr>
              <w:rStyle w:val="40"/>
              <w:rFonts w:hint="eastAsia" w:cs="Times New Roman"/>
            </w:rPr>
            <w:t>7.1.1</w:t>
          </w:r>
          <w:r>
            <w:rPr>
              <w:rFonts w:hint="eastAsia" w:asciiTheme="minorHAnsi" w:hAnsiTheme="minorHAnsi" w:eastAsiaTheme="minorEastAsia" w:cstheme="minorBidi"/>
              <w:sz w:val="21"/>
              <w:szCs w:val="22"/>
              <w14:ligatures w14:val="standardContextual"/>
            </w:rPr>
            <w:tab/>
          </w:r>
          <w:r>
            <w:rPr>
              <w:rStyle w:val="40"/>
              <w:rFonts w:hint="eastAsia"/>
            </w:rPr>
            <w:t>组织管理</w:t>
          </w:r>
          <w:r>
            <w:rPr>
              <w:rFonts w:hint="eastAsia"/>
            </w:rPr>
            <w:tab/>
          </w:r>
          <w:r>
            <w:rPr>
              <w:rFonts w:hint="eastAsia"/>
            </w:rPr>
            <w:fldChar w:fldCharType="begin"/>
          </w:r>
          <w:r>
            <w:rPr>
              <w:rFonts w:hint="eastAsia"/>
            </w:rPr>
            <w:instrText xml:space="preserve"> </w:instrText>
          </w:r>
          <w:r>
            <w:instrText xml:space="preserve">PAGEREF _Toc175233386 \h</w:instrText>
          </w:r>
          <w:r>
            <w:rPr>
              <w:rFonts w:hint="eastAsia"/>
            </w:rPr>
            <w:instrText xml:space="preserve"> </w:instrText>
          </w:r>
          <w:r>
            <w:rPr>
              <w:rFonts w:hint="eastAsia"/>
            </w:rPr>
            <w:fldChar w:fldCharType="separate"/>
          </w:r>
          <w:r>
            <w:rPr>
              <w:rFonts w:hint="eastAsia"/>
            </w:rPr>
            <w:t>58</w:t>
          </w:r>
          <w:r>
            <w:rPr>
              <w:rFonts w:hint="eastAsia"/>
            </w:rPr>
            <w:fldChar w:fldCharType="end"/>
          </w:r>
          <w:r>
            <w:rPr>
              <w:rFonts w:hint="eastAsia"/>
            </w:rPr>
            <w:fldChar w:fldCharType="end"/>
          </w:r>
        </w:p>
        <w:p w14:paraId="40A679D5">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"_Toc175233387" </w:instrText>
          </w:r>
          <w:r>
            <w:fldChar w:fldCharType="separate"/>
          </w:r>
          <w:r>
            <w:rPr>
              <w:rStyle w:val="40"/>
              <w:rFonts w:hint="eastAsia" w:cs="Times New Roman"/>
            </w:rPr>
            <w:t>7.1.2</w:t>
          </w:r>
          <w:r>
            <w:rPr>
              <w:rFonts w:hint="eastAsia" w:asciiTheme="minorHAnsi" w:hAnsiTheme="minorHAnsi" w:eastAsiaTheme="minorEastAsia" w:cstheme="minorBidi"/>
              <w:sz w:val="21"/>
              <w:szCs w:val="22"/>
              <w14:ligatures w14:val="standardContextual"/>
            </w:rPr>
            <w:tab/>
          </w:r>
          <w:r>
            <w:rPr>
              <w:rStyle w:val="40"/>
              <w:rFonts w:hint="eastAsia"/>
            </w:rPr>
            <w:t>资金管理</w:t>
          </w:r>
          <w:r>
            <w:rPr>
              <w:rFonts w:hint="eastAsia"/>
            </w:rPr>
            <w:tab/>
          </w:r>
          <w:r>
            <w:rPr>
              <w:rFonts w:hint="eastAsia"/>
            </w:rPr>
            <w:fldChar w:fldCharType="begin"/>
          </w:r>
          <w:r>
            <w:rPr>
              <w:rFonts w:hint="eastAsia"/>
            </w:rPr>
            <w:instrText xml:space="preserve"> </w:instrText>
          </w:r>
          <w:r>
            <w:instrText xml:space="preserve">PAGEREF _Toc175233387 \h</w:instrText>
          </w:r>
          <w:r>
            <w:rPr>
              <w:rFonts w:hint="eastAsia"/>
            </w:rPr>
            <w:instrText xml:space="preserve"> </w:instrText>
          </w:r>
          <w:r>
            <w:rPr>
              <w:rFonts w:hint="eastAsia"/>
            </w:rPr>
            <w:fldChar w:fldCharType="separate"/>
          </w:r>
          <w:r>
            <w:rPr>
              <w:rFonts w:hint="eastAsia"/>
            </w:rPr>
            <w:t>59</w:t>
          </w:r>
          <w:r>
            <w:rPr>
              <w:rFonts w:hint="eastAsia"/>
            </w:rPr>
            <w:fldChar w:fldCharType="end"/>
          </w:r>
          <w:r>
            <w:rPr>
              <w:rFonts w:hint="eastAsia"/>
            </w:rPr>
            <w:fldChar w:fldCharType="end"/>
          </w:r>
        </w:p>
        <w:p w14:paraId="4D9CC622">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"_Toc175233388" </w:instrText>
          </w:r>
          <w:r>
            <w:fldChar w:fldCharType="separate"/>
          </w:r>
          <w:r>
            <w:rPr>
              <w:rStyle w:val="40"/>
              <w:rFonts w:hint="eastAsia" w:cs="Times New Roman"/>
            </w:rPr>
            <w:t>7.1.3</w:t>
          </w:r>
          <w:r>
            <w:rPr>
              <w:rFonts w:hint="eastAsia" w:asciiTheme="minorHAnsi" w:hAnsiTheme="minorHAnsi" w:eastAsiaTheme="minorEastAsia" w:cstheme="minorBidi"/>
              <w:sz w:val="21"/>
              <w:szCs w:val="22"/>
              <w14:ligatures w14:val="standardContextual"/>
            </w:rPr>
            <w:tab/>
          </w:r>
          <w:r>
            <w:rPr>
              <w:rStyle w:val="40"/>
              <w:rFonts w:hint="eastAsia"/>
            </w:rPr>
            <w:t>质量进度管理</w:t>
          </w:r>
          <w:r>
            <w:rPr>
              <w:rFonts w:hint="eastAsia"/>
            </w:rPr>
            <w:tab/>
          </w:r>
          <w:r>
            <w:rPr>
              <w:rFonts w:hint="eastAsia"/>
            </w:rPr>
            <w:fldChar w:fldCharType="begin"/>
          </w:r>
          <w:r>
            <w:rPr>
              <w:rFonts w:hint="eastAsia"/>
            </w:rPr>
            <w:instrText xml:space="preserve"> </w:instrText>
          </w:r>
          <w:r>
            <w:instrText xml:space="preserve">PAGEREF _Toc175233388 \h</w:instrText>
          </w:r>
          <w:r>
            <w:rPr>
              <w:rFonts w:hint="eastAsia"/>
            </w:rPr>
            <w:instrText xml:space="preserve"> </w:instrText>
          </w:r>
          <w:r>
            <w:rPr>
              <w:rFonts w:hint="eastAsia"/>
            </w:rPr>
            <w:fldChar w:fldCharType="separate"/>
          </w:r>
          <w:r>
            <w:rPr>
              <w:rFonts w:hint="eastAsia"/>
            </w:rPr>
            <w:t>59</w:t>
          </w:r>
          <w:r>
            <w:rPr>
              <w:rFonts w:hint="eastAsia"/>
            </w:rPr>
            <w:fldChar w:fldCharType="end"/>
          </w:r>
          <w:r>
            <w:rPr>
              <w:rFonts w:hint="eastAsia"/>
            </w:rPr>
            <w:fldChar w:fldCharType="end"/>
          </w:r>
        </w:p>
        <w:p w14:paraId="1269D375">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"_Toc175233389" </w:instrText>
          </w:r>
          <w:r>
            <w:fldChar w:fldCharType="separate"/>
          </w:r>
          <w:r>
            <w:rPr>
              <w:rStyle w:val="40"/>
              <w:rFonts w:hint="eastAsia" w:cs="Times New Roman"/>
            </w:rPr>
            <w:t>7.2</w:t>
          </w:r>
          <w:r>
            <w:rPr>
              <w:rFonts w:hint="eastAsia" w:asciiTheme="minorHAnsi" w:hAnsiTheme="minorHAnsi" w:eastAsiaTheme="minorEastAsia" w:cstheme="minorBidi"/>
              <w:szCs w:val="22"/>
              <w14:ligatures w14:val="standardContextual"/>
            </w:rPr>
            <w:tab/>
          </w:r>
          <w:r>
            <w:rPr>
              <w:rStyle w:val="40"/>
              <w:rFonts w:hint="eastAsia"/>
            </w:rPr>
            <w:t>运行期管理</w:t>
          </w:r>
          <w:r>
            <w:rPr>
              <w:rFonts w:hint="eastAsia"/>
            </w:rPr>
            <w:tab/>
          </w:r>
          <w:r>
            <w:rPr>
              <w:rFonts w:hint="eastAsia"/>
            </w:rPr>
            <w:fldChar w:fldCharType="begin"/>
          </w:r>
          <w:r>
            <w:rPr>
              <w:rFonts w:hint="eastAsia"/>
            </w:rPr>
            <w:instrText xml:space="preserve"> </w:instrText>
          </w:r>
          <w:r>
            <w:instrText xml:space="preserve">PAGEREF _Toc175233389 \h</w:instrText>
          </w:r>
          <w:r>
            <w:rPr>
              <w:rFonts w:hint="eastAsia"/>
            </w:rPr>
            <w:instrText xml:space="preserve"> </w:instrText>
          </w:r>
          <w:r>
            <w:rPr>
              <w:rFonts w:hint="eastAsia"/>
            </w:rPr>
            <w:fldChar w:fldCharType="separate"/>
          </w:r>
          <w:r>
            <w:rPr>
              <w:rFonts w:hint="eastAsia"/>
            </w:rPr>
            <w:t>59</w:t>
          </w:r>
          <w:r>
            <w:rPr>
              <w:rFonts w:hint="eastAsia"/>
            </w:rPr>
            <w:fldChar w:fldCharType="end"/>
          </w:r>
          <w:r>
            <w:rPr>
              <w:rFonts w:hint="eastAsia"/>
            </w:rPr>
            <w:fldChar w:fldCharType="end"/>
          </w:r>
        </w:p>
        <w:p w14:paraId="00E1DF76">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"_Toc175233390" </w:instrText>
          </w:r>
          <w:r>
            <w:fldChar w:fldCharType="separate"/>
          </w:r>
          <w:r>
            <w:rPr>
              <w:rStyle w:val="40"/>
              <w:rFonts w:hint="eastAsia" w:cs="Times New Roman"/>
            </w:rPr>
            <w:t>7.3</w:t>
          </w:r>
          <w:r>
            <w:rPr>
              <w:rFonts w:hint="eastAsia" w:asciiTheme="minorHAnsi" w:hAnsiTheme="minorHAnsi" w:eastAsiaTheme="minorEastAsia" w:cstheme="minorBidi"/>
              <w:szCs w:val="22"/>
              <w14:ligatures w14:val="standardContextual"/>
            </w:rPr>
            <w:tab/>
          </w:r>
          <w:r>
            <w:rPr>
              <w:rStyle w:val="40"/>
              <w:rFonts w:hint="eastAsia"/>
            </w:rPr>
            <w:t>运行维护管理方案</w:t>
          </w:r>
          <w:r>
            <w:rPr>
              <w:rFonts w:hint="eastAsia"/>
            </w:rPr>
            <w:tab/>
          </w:r>
          <w:r>
            <w:rPr>
              <w:rFonts w:hint="eastAsia"/>
            </w:rPr>
            <w:fldChar w:fldCharType="begin"/>
          </w:r>
          <w:r>
            <w:rPr>
              <w:rFonts w:hint="eastAsia"/>
            </w:rPr>
            <w:instrText xml:space="preserve"> </w:instrText>
          </w:r>
          <w:r>
            <w:instrText xml:space="preserve">PAGEREF _Toc175233390 \h</w:instrText>
          </w:r>
          <w:r>
            <w:rPr>
              <w:rFonts w:hint="eastAsia"/>
            </w:rPr>
            <w:instrText xml:space="preserve"> </w:instrText>
          </w:r>
          <w:r>
            <w:rPr>
              <w:rFonts w:hint="eastAsia"/>
            </w:rPr>
            <w:fldChar w:fldCharType="separate"/>
          </w:r>
          <w:r>
            <w:rPr>
              <w:rFonts w:hint="eastAsia"/>
            </w:rPr>
            <w:t>60</w:t>
          </w:r>
          <w:r>
            <w:rPr>
              <w:rFonts w:hint="eastAsia"/>
            </w:rPr>
            <w:fldChar w:fldCharType="end"/>
          </w:r>
          <w:r>
            <w:rPr>
              <w:rFonts w:hint="eastAsia"/>
            </w:rPr>
            <w:fldChar w:fldCharType="end"/>
          </w:r>
        </w:p>
        <w:p w14:paraId="74466EEE">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"_Toc175233391" </w:instrText>
          </w:r>
          <w:r>
            <w:fldChar w:fldCharType="separate"/>
          </w:r>
          <w:r>
            <w:rPr>
              <w:rStyle w:val="40"/>
              <w:rFonts w:hint="eastAsia" w:cs="Times New Roman"/>
            </w:rPr>
            <w:t>7.4</w:t>
          </w:r>
          <w:r>
            <w:rPr>
              <w:rFonts w:hint="eastAsia" w:asciiTheme="minorHAnsi" w:hAnsiTheme="minorHAnsi" w:eastAsiaTheme="minorEastAsia" w:cstheme="minorBidi"/>
              <w:szCs w:val="22"/>
              <w14:ligatures w14:val="standardContextual"/>
            </w:rPr>
            <w:tab/>
          </w:r>
          <w:r>
            <w:rPr>
              <w:rStyle w:val="40"/>
              <w:rFonts w:hint="eastAsia"/>
            </w:rPr>
            <w:t>人员培训管理</w:t>
          </w:r>
          <w:r>
            <w:rPr>
              <w:rFonts w:hint="eastAsia"/>
            </w:rPr>
            <w:tab/>
          </w:r>
          <w:r>
            <w:rPr>
              <w:rFonts w:hint="eastAsia"/>
            </w:rPr>
            <w:fldChar w:fldCharType="begin"/>
          </w:r>
          <w:r>
            <w:rPr>
              <w:rFonts w:hint="eastAsia"/>
            </w:rPr>
            <w:instrText xml:space="preserve"> </w:instrText>
          </w:r>
          <w:r>
            <w:instrText xml:space="preserve">PAGEREF _Toc175233391 \h</w:instrText>
          </w:r>
          <w:r>
            <w:rPr>
              <w:rFonts w:hint="eastAsia"/>
            </w:rPr>
            <w:instrText xml:space="preserve"> </w:instrText>
          </w:r>
          <w:r>
            <w:rPr>
              <w:rFonts w:hint="eastAsia"/>
            </w:rPr>
            <w:fldChar w:fldCharType="separate"/>
          </w:r>
          <w:r>
            <w:rPr>
              <w:rFonts w:hint="eastAsia"/>
            </w:rPr>
            <w:t>61</w:t>
          </w:r>
          <w:r>
            <w:rPr>
              <w:rFonts w:hint="eastAsia"/>
            </w:rPr>
            <w:fldChar w:fldCharType="end"/>
          </w:r>
          <w:r>
            <w:rPr>
              <w:rFonts w:hint="eastAsia"/>
            </w:rPr>
            <w:fldChar w:fldCharType="end"/>
          </w:r>
        </w:p>
        <w:p w14:paraId="4D1AA216">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"_Toc175233392" </w:instrText>
          </w:r>
          <w:r>
            <w:fldChar w:fldCharType="separate"/>
          </w:r>
          <w:r>
            <w:rPr>
              <w:rStyle w:val="40"/>
              <w:rFonts w:hint="eastAsia" w:cs="Times New Roman"/>
            </w:rPr>
            <w:t>7.4.1</w:t>
          </w:r>
          <w:r>
            <w:rPr>
              <w:rFonts w:hint="eastAsia" w:asciiTheme="minorHAnsi" w:hAnsiTheme="minorHAnsi" w:eastAsiaTheme="minorEastAsia" w:cstheme="minorBidi"/>
              <w:sz w:val="21"/>
              <w:szCs w:val="22"/>
              <w14:ligatures w14:val="standardContextual"/>
            </w:rPr>
            <w:tab/>
          </w:r>
          <w:r>
            <w:rPr>
              <w:rStyle w:val="40"/>
              <w:rFonts w:hint="eastAsia"/>
            </w:rPr>
            <w:t>培训目的</w:t>
          </w:r>
          <w:r>
            <w:rPr>
              <w:rFonts w:hint="eastAsia"/>
            </w:rPr>
            <w:tab/>
          </w:r>
          <w:r>
            <w:rPr>
              <w:rFonts w:hint="eastAsia"/>
            </w:rPr>
            <w:fldChar w:fldCharType="begin"/>
          </w:r>
          <w:r>
            <w:rPr>
              <w:rFonts w:hint="eastAsia"/>
            </w:rPr>
            <w:instrText xml:space="preserve"> </w:instrText>
          </w:r>
          <w:r>
            <w:instrText xml:space="preserve">PAGEREF _Toc175233392 \h</w:instrText>
          </w:r>
          <w:r>
            <w:rPr>
              <w:rFonts w:hint="eastAsia"/>
            </w:rPr>
            <w:instrText xml:space="preserve"> </w:instrText>
          </w:r>
          <w:r>
            <w:rPr>
              <w:rFonts w:hint="eastAsia"/>
            </w:rPr>
            <w:fldChar w:fldCharType="separate"/>
          </w:r>
          <w:r>
            <w:rPr>
              <w:rFonts w:hint="eastAsia"/>
            </w:rPr>
            <w:t>61</w:t>
          </w:r>
          <w:r>
            <w:rPr>
              <w:rFonts w:hint="eastAsia"/>
            </w:rPr>
            <w:fldChar w:fldCharType="end"/>
          </w:r>
          <w:r>
            <w:rPr>
              <w:rFonts w:hint="eastAsia"/>
            </w:rPr>
            <w:fldChar w:fldCharType="end"/>
          </w:r>
        </w:p>
        <w:p w14:paraId="11C91484">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"_Toc175233393" </w:instrText>
          </w:r>
          <w:r>
            <w:fldChar w:fldCharType="separate"/>
          </w:r>
          <w:r>
            <w:rPr>
              <w:rStyle w:val="40"/>
              <w:rFonts w:hint="eastAsia" w:cs="Times New Roman"/>
            </w:rPr>
            <w:t>7.4.2</w:t>
          </w:r>
          <w:r>
            <w:rPr>
              <w:rFonts w:hint="eastAsia" w:asciiTheme="minorHAnsi" w:hAnsiTheme="minorHAnsi" w:eastAsiaTheme="minorEastAsia" w:cstheme="minorBidi"/>
              <w:sz w:val="21"/>
              <w:szCs w:val="22"/>
              <w14:ligatures w14:val="standardContextual"/>
            </w:rPr>
            <w:tab/>
          </w:r>
          <w:r>
            <w:rPr>
              <w:rStyle w:val="40"/>
              <w:rFonts w:hint="eastAsia"/>
            </w:rPr>
            <w:t>培训对象</w:t>
          </w:r>
          <w:r>
            <w:rPr>
              <w:rFonts w:hint="eastAsia"/>
            </w:rPr>
            <w:tab/>
          </w:r>
          <w:r>
            <w:rPr>
              <w:rFonts w:hint="eastAsia"/>
            </w:rPr>
            <w:fldChar w:fldCharType="begin"/>
          </w:r>
          <w:r>
            <w:rPr>
              <w:rFonts w:hint="eastAsia"/>
            </w:rPr>
            <w:instrText xml:space="preserve"> </w:instrText>
          </w:r>
          <w:r>
            <w:instrText xml:space="preserve">PAGEREF _Toc175233393 \h</w:instrText>
          </w:r>
          <w:r>
            <w:rPr>
              <w:rFonts w:hint="eastAsia"/>
            </w:rPr>
            <w:instrText xml:space="preserve"> </w:instrText>
          </w:r>
          <w:r>
            <w:rPr>
              <w:rFonts w:hint="eastAsia"/>
            </w:rPr>
            <w:fldChar w:fldCharType="separate"/>
          </w:r>
          <w:r>
            <w:rPr>
              <w:rFonts w:hint="eastAsia"/>
            </w:rPr>
            <w:t>61</w:t>
          </w:r>
          <w:r>
            <w:rPr>
              <w:rFonts w:hint="eastAsia"/>
            </w:rPr>
            <w:fldChar w:fldCharType="end"/>
          </w:r>
          <w:r>
            <w:rPr>
              <w:rFonts w:hint="eastAsia"/>
            </w:rPr>
            <w:fldChar w:fldCharType="end"/>
          </w:r>
        </w:p>
        <w:p w14:paraId="6A24BC5B">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"_Toc175233394" </w:instrText>
          </w:r>
          <w:r>
            <w:fldChar w:fldCharType="separate"/>
          </w:r>
          <w:r>
            <w:rPr>
              <w:rStyle w:val="40"/>
              <w:rFonts w:hint="eastAsia" w:cs="Times New Roman"/>
            </w:rPr>
            <w:t>7.4.3</w:t>
          </w:r>
          <w:r>
            <w:rPr>
              <w:rFonts w:hint="eastAsia" w:asciiTheme="minorHAnsi" w:hAnsiTheme="minorHAnsi" w:eastAsiaTheme="minorEastAsia" w:cstheme="minorBidi"/>
              <w:sz w:val="21"/>
              <w:szCs w:val="22"/>
              <w14:ligatures w14:val="standardContextual"/>
            </w:rPr>
            <w:tab/>
          </w:r>
          <w:r>
            <w:rPr>
              <w:rStyle w:val="40"/>
              <w:rFonts w:hint="eastAsia"/>
            </w:rPr>
            <w:t>培训内容</w:t>
          </w:r>
          <w:r>
            <w:rPr>
              <w:rFonts w:hint="eastAsia"/>
            </w:rPr>
            <w:tab/>
          </w:r>
          <w:r>
            <w:rPr>
              <w:rFonts w:hint="eastAsia"/>
            </w:rPr>
            <w:fldChar w:fldCharType="begin"/>
          </w:r>
          <w:r>
            <w:rPr>
              <w:rFonts w:hint="eastAsia"/>
            </w:rPr>
            <w:instrText xml:space="preserve"> </w:instrText>
          </w:r>
          <w:r>
            <w:instrText xml:space="preserve">PAGEREF _Toc175233394 \h</w:instrText>
          </w:r>
          <w:r>
            <w:rPr>
              <w:rFonts w:hint="eastAsia"/>
            </w:rPr>
            <w:instrText xml:space="preserve"> </w:instrText>
          </w:r>
          <w:r>
            <w:rPr>
              <w:rFonts w:hint="eastAsia"/>
            </w:rPr>
            <w:fldChar w:fldCharType="separate"/>
          </w:r>
          <w:r>
            <w:rPr>
              <w:rFonts w:hint="eastAsia"/>
            </w:rPr>
            <w:t>61</w:t>
          </w:r>
          <w:r>
            <w:rPr>
              <w:rFonts w:hint="eastAsia"/>
            </w:rPr>
            <w:fldChar w:fldCharType="end"/>
          </w:r>
          <w:r>
            <w:rPr>
              <w:rFonts w:hint="eastAsia"/>
            </w:rPr>
            <w:fldChar w:fldCharType="end"/>
          </w:r>
        </w:p>
        <w:p w14:paraId="1E5AD5F0">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"_Toc175233395" </w:instrText>
          </w:r>
          <w:r>
            <w:fldChar w:fldCharType="separate"/>
          </w:r>
          <w:r>
            <w:rPr>
              <w:rStyle w:val="40"/>
              <w:rFonts w:hint="eastAsia" w:cs="Times New Roman"/>
            </w:rPr>
            <w:t>7.4.4</w:t>
          </w:r>
          <w:r>
            <w:rPr>
              <w:rFonts w:hint="eastAsia" w:asciiTheme="minorHAnsi" w:hAnsiTheme="minorHAnsi" w:eastAsiaTheme="minorEastAsia" w:cstheme="minorBidi"/>
              <w:sz w:val="21"/>
              <w:szCs w:val="22"/>
              <w14:ligatures w14:val="standardContextual"/>
            </w:rPr>
            <w:tab/>
          </w:r>
          <w:r>
            <w:rPr>
              <w:rStyle w:val="40"/>
              <w:rFonts w:hint="eastAsia"/>
            </w:rPr>
            <w:t>培训方式</w:t>
          </w:r>
          <w:r>
            <w:rPr>
              <w:rFonts w:hint="eastAsia"/>
            </w:rPr>
            <w:tab/>
          </w:r>
          <w:r>
            <w:rPr>
              <w:rFonts w:hint="eastAsia"/>
            </w:rPr>
            <w:fldChar w:fldCharType="begin"/>
          </w:r>
          <w:r>
            <w:rPr>
              <w:rFonts w:hint="eastAsia"/>
            </w:rPr>
            <w:instrText xml:space="preserve"> </w:instrText>
          </w:r>
          <w:r>
            <w:instrText xml:space="preserve">PAGEREF _Toc175233395 \h</w:instrText>
          </w:r>
          <w:r>
            <w:rPr>
              <w:rFonts w:hint="eastAsia"/>
            </w:rPr>
            <w:instrText xml:space="preserve"> </w:instrText>
          </w:r>
          <w:r>
            <w:rPr>
              <w:rFonts w:hint="eastAsia"/>
            </w:rPr>
            <w:fldChar w:fldCharType="separate"/>
          </w:r>
          <w:r>
            <w:rPr>
              <w:rFonts w:hint="eastAsia"/>
            </w:rPr>
            <w:t>61</w:t>
          </w:r>
          <w:r>
            <w:rPr>
              <w:rFonts w:hint="eastAsia"/>
            </w:rPr>
            <w:fldChar w:fldCharType="end"/>
          </w:r>
          <w:r>
            <w:rPr>
              <w:rFonts w:hint="eastAsia"/>
            </w:rPr>
            <w:fldChar w:fldCharType="end"/>
          </w:r>
        </w:p>
        <w:p w14:paraId="1DCE1ABA">
          <w:pPr>
            <w:pStyle w:val="25"/>
            <w:tabs>
              <w:tab w:val="right" w:leader="dot" w:pos="8296"/>
            </w:tabs>
            <w:rPr>
              <w:rFonts w:hint="eastAsia" w:asciiTheme="minorHAnsi" w:hAnsiTheme="minorHAnsi" w:eastAsiaTheme="minorEastAsia" w:cstheme="minorBidi"/>
              <w:b w:val="0"/>
              <w:sz w:val="21"/>
              <w:szCs w:val="22"/>
              <w14:ligatures w14:val="standardContextual"/>
            </w:rPr>
          </w:pPr>
          <w:r>
            <w:fldChar w:fldCharType="begin"/>
          </w:r>
          <w:r>
            <w:instrText xml:space="preserve"> HYPERLINK \l "_Toc175233396" </w:instrText>
          </w:r>
          <w:r>
            <w:fldChar w:fldCharType="separate"/>
          </w:r>
          <w:r>
            <w:rPr>
              <w:rStyle w:val="40"/>
              <w:rFonts w:hint="eastAsia" w:hAnsi="仿宋"/>
            </w:rPr>
            <w:t>第八章</w:t>
          </w:r>
          <w:r>
            <w:rPr>
              <w:rStyle w:val="40"/>
              <w:rFonts w:hint="eastAsia"/>
            </w:rPr>
            <w:t xml:space="preserve"> 项目风险与风险管理</w:t>
          </w:r>
          <w:r>
            <w:rPr>
              <w:rFonts w:hint="eastAsia"/>
            </w:rPr>
            <w:tab/>
          </w:r>
          <w:r>
            <w:rPr>
              <w:rFonts w:hint="eastAsia"/>
            </w:rPr>
            <w:fldChar w:fldCharType="begin"/>
          </w:r>
          <w:r>
            <w:rPr>
              <w:rFonts w:hint="eastAsia"/>
            </w:rPr>
            <w:instrText xml:space="preserve"> </w:instrText>
          </w:r>
          <w:r>
            <w:instrText xml:space="preserve">PAGEREF _Toc175233396 \h</w:instrText>
          </w:r>
          <w:r>
            <w:rPr>
              <w:rFonts w:hint="eastAsia"/>
            </w:rPr>
            <w:instrText xml:space="preserve"> </w:instrText>
          </w:r>
          <w:r>
            <w:rPr>
              <w:rFonts w:hint="eastAsia"/>
            </w:rPr>
            <w:fldChar w:fldCharType="separate"/>
          </w:r>
          <w:r>
            <w:rPr>
              <w:rFonts w:hint="eastAsia"/>
            </w:rPr>
            <w:t>62</w:t>
          </w:r>
          <w:r>
            <w:rPr>
              <w:rFonts w:hint="eastAsia"/>
            </w:rPr>
            <w:fldChar w:fldCharType="end"/>
          </w:r>
          <w:r>
            <w:rPr>
              <w:rFonts w:hint="eastAsia"/>
            </w:rPr>
            <w:fldChar w:fldCharType="end"/>
          </w:r>
        </w:p>
        <w:p w14:paraId="06E41070">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"_Toc175233397" </w:instrText>
          </w:r>
          <w:r>
            <w:fldChar w:fldCharType="separate"/>
          </w:r>
          <w:r>
            <w:rPr>
              <w:rStyle w:val="40"/>
              <w:rFonts w:hint="eastAsia" w:cs="Times New Roman"/>
            </w:rPr>
            <w:t>8.1</w:t>
          </w:r>
          <w:r>
            <w:rPr>
              <w:rFonts w:hint="eastAsia" w:asciiTheme="minorHAnsi" w:hAnsiTheme="minorHAnsi" w:eastAsiaTheme="minorEastAsia" w:cstheme="minorBidi"/>
              <w:szCs w:val="22"/>
              <w14:ligatures w14:val="standardContextual"/>
            </w:rPr>
            <w:tab/>
          </w:r>
          <w:r>
            <w:rPr>
              <w:rStyle w:val="40"/>
              <w:rFonts w:hint="eastAsia"/>
            </w:rPr>
            <w:t>风险识别与分析</w:t>
          </w:r>
          <w:r>
            <w:rPr>
              <w:rFonts w:hint="eastAsia"/>
            </w:rPr>
            <w:tab/>
          </w:r>
          <w:r>
            <w:rPr>
              <w:rFonts w:hint="eastAsia"/>
            </w:rPr>
            <w:fldChar w:fldCharType="begin"/>
          </w:r>
          <w:r>
            <w:rPr>
              <w:rFonts w:hint="eastAsia"/>
            </w:rPr>
            <w:instrText xml:space="preserve"> </w:instrText>
          </w:r>
          <w:r>
            <w:instrText xml:space="preserve">PAGEREF _Toc175233397 \h</w:instrText>
          </w:r>
          <w:r>
            <w:rPr>
              <w:rFonts w:hint="eastAsia"/>
            </w:rPr>
            <w:instrText xml:space="preserve"> </w:instrText>
          </w:r>
          <w:r>
            <w:rPr>
              <w:rFonts w:hint="eastAsia"/>
            </w:rPr>
            <w:fldChar w:fldCharType="separate"/>
          </w:r>
          <w:r>
            <w:rPr>
              <w:rFonts w:hint="eastAsia"/>
            </w:rPr>
            <w:t>62</w:t>
          </w:r>
          <w:r>
            <w:rPr>
              <w:rFonts w:hint="eastAsia"/>
            </w:rPr>
            <w:fldChar w:fldCharType="end"/>
          </w:r>
          <w:r>
            <w:rPr>
              <w:rFonts w:hint="eastAsia"/>
            </w:rPr>
            <w:fldChar w:fldCharType="end"/>
          </w:r>
        </w:p>
        <w:p w14:paraId="76575B5F">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"_Toc175233398" </w:instrText>
          </w:r>
          <w:r>
            <w:fldChar w:fldCharType="separate"/>
          </w:r>
          <w:r>
            <w:rPr>
              <w:rStyle w:val="40"/>
              <w:rFonts w:hint="eastAsia" w:cs="Times New Roman"/>
            </w:rPr>
            <w:t>8.1.1</w:t>
          </w:r>
          <w:r>
            <w:rPr>
              <w:rFonts w:hint="eastAsia" w:asciiTheme="minorHAnsi" w:hAnsiTheme="minorHAnsi" w:eastAsiaTheme="minorEastAsia" w:cstheme="minorBidi"/>
              <w:sz w:val="21"/>
              <w:szCs w:val="22"/>
              <w14:ligatures w14:val="standardContextual"/>
            </w:rPr>
            <w:tab/>
          </w:r>
          <w:r>
            <w:rPr>
              <w:rStyle w:val="40"/>
              <w:rFonts w:hint="eastAsia"/>
            </w:rPr>
            <w:t>技术风险</w:t>
          </w:r>
          <w:r>
            <w:rPr>
              <w:rFonts w:hint="eastAsia"/>
            </w:rPr>
            <w:tab/>
          </w:r>
          <w:r>
            <w:rPr>
              <w:rFonts w:hint="eastAsia"/>
            </w:rPr>
            <w:fldChar w:fldCharType="begin"/>
          </w:r>
          <w:r>
            <w:rPr>
              <w:rFonts w:hint="eastAsia"/>
            </w:rPr>
            <w:instrText xml:space="preserve"> </w:instrText>
          </w:r>
          <w:r>
            <w:instrText xml:space="preserve">PAGEREF _Toc175233398 \h</w:instrText>
          </w:r>
          <w:r>
            <w:rPr>
              <w:rFonts w:hint="eastAsia"/>
            </w:rPr>
            <w:instrText xml:space="preserve"> </w:instrText>
          </w:r>
          <w:r>
            <w:rPr>
              <w:rFonts w:hint="eastAsia"/>
            </w:rPr>
            <w:fldChar w:fldCharType="separate"/>
          </w:r>
          <w:r>
            <w:rPr>
              <w:rFonts w:hint="eastAsia"/>
            </w:rPr>
            <w:t>62</w:t>
          </w:r>
          <w:r>
            <w:rPr>
              <w:rFonts w:hint="eastAsia"/>
            </w:rPr>
            <w:fldChar w:fldCharType="end"/>
          </w:r>
          <w:r>
            <w:rPr>
              <w:rFonts w:hint="eastAsia"/>
            </w:rPr>
            <w:fldChar w:fldCharType="end"/>
          </w:r>
        </w:p>
        <w:p w14:paraId="10593EAE">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"_Toc175233399" </w:instrText>
          </w:r>
          <w:r>
            <w:fldChar w:fldCharType="separate"/>
          </w:r>
          <w:r>
            <w:rPr>
              <w:rStyle w:val="40"/>
              <w:rFonts w:hint="eastAsia" w:cs="Times New Roman"/>
            </w:rPr>
            <w:t>8.1.2</w:t>
          </w:r>
          <w:r>
            <w:rPr>
              <w:rFonts w:hint="eastAsia" w:asciiTheme="minorHAnsi" w:hAnsiTheme="minorHAnsi" w:eastAsiaTheme="minorEastAsia" w:cstheme="minorBidi"/>
              <w:sz w:val="21"/>
              <w:szCs w:val="22"/>
              <w14:ligatures w14:val="standardContextual"/>
            </w:rPr>
            <w:tab/>
          </w:r>
          <w:r>
            <w:rPr>
              <w:rStyle w:val="40"/>
              <w:rFonts w:hint="eastAsia"/>
            </w:rPr>
            <w:t>产品风险</w:t>
          </w:r>
          <w:r>
            <w:rPr>
              <w:rFonts w:hint="eastAsia"/>
            </w:rPr>
            <w:tab/>
          </w:r>
          <w:r>
            <w:rPr>
              <w:rFonts w:hint="eastAsia"/>
            </w:rPr>
            <w:fldChar w:fldCharType="begin"/>
          </w:r>
          <w:r>
            <w:rPr>
              <w:rFonts w:hint="eastAsia"/>
            </w:rPr>
            <w:instrText xml:space="preserve"> </w:instrText>
          </w:r>
          <w:r>
            <w:instrText xml:space="preserve">PAGEREF _Toc175233399 \h</w:instrText>
          </w:r>
          <w:r>
            <w:rPr>
              <w:rFonts w:hint="eastAsia"/>
            </w:rPr>
            <w:instrText xml:space="preserve"> </w:instrText>
          </w:r>
          <w:r>
            <w:rPr>
              <w:rFonts w:hint="eastAsia"/>
            </w:rPr>
            <w:fldChar w:fldCharType="separate"/>
          </w:r>
          <w:r>
            <w:rPr>
              <w:rFonts w:hint="eastAsia"/>
            </w:rPr>
            <w:t>62</w:t>
          </w:r>
          <w:r>
            <w:rPr>
              <w:rFonts w:hint="eastAsia"/>
            </w:rPr>
            <w:fldChar w:fldCharType="end"/>
          </w:r>
          <w:r>
            <w:rPr>
              <w:rFonts w:hint="eastAsia"/>
            </w:rPr>
            <w:fldChar w:fldCharType="end"/>
          </w:r>
        </w:p>
        <w:p w14:paraId="4AC653BB">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"_Toc175233400" </w:instrText>
          </w:r>
          <w:r>
            <w:fldChar w:fldCharType="separate"/>
          </w:r>
          <w:r>
            <w:rPr>
              <w:rStyle w:val="40"/>
              <w:rFonts w:hint="eastAsia" w:cs="Times New Roman"/>
            </w:rPr>
            <w:t>8.1.3</w:t>
          </w:r>
          <w:r>
            <w:rPr>
              <w:rFonts w:hint="eastAsia" w:asciiTheme="minorHAnsi" w:hAnsiTheme="minorHAnsi" w:eastAsiaTheme="minorEastAsia" w:cstheme="minorBidi"/>
              <w:sz w:val="21"/>
              <w:szCs w:val="22"/>
              <w14:ligatures w14:val="standardContextual"/>
            </w:rPr>
            <w:tab/>
          </w:r>
          <w:r>
            <w:rPr>
              <w:rStyle w:val="40"/>
              <w:rFonts w:hint="eastAsia"/>
            </w:rPr>
            <w:t>升级风险</w:t>
          </w:r>
          <w:r>
            <w:rPr>
              <w:rFonts w:hint="eastAsia"/>
            </w:rPr>
            <w:tab/>
          </w:r>
          <w:r>
            <w:rPr>
              <w:rFonts w:hint="eastAsia"/>
            </w:rPr>
            <w:fldChar w:fldCharType="begin"/>
          </w:r>
          <w:r>
            <w:rPr>
              <w:rFonts w:hint="eastAsia"/>
            </w:rPr>
            <w:instrText xml:space="preserve"> </w:instrText>
          </w:r>
          <w:r>
            <w:instrText xml:space="preserve">PAGEREF _Toc175233400 \h</w:instrText>
          </w:r>
          <w:r>
            <w:rPr>
              <w:rFonts w:hint="eastAsia"/>
            </w:rPr>
            <w:instrText xml:space="preserve"> </w:instrText>
          </w:r>
          <w:r>
            <w:rPr>
              <w:rFonts w:hint="eastAsia"/>
            </w:rPr>
            <w:fldChar w:fldCharType="separate"/>
          </w:r>
          <w:r>
            <w:rPr>
              <w:rFonts w:hint="eastAsia"/>
            </w:rPr>
            <w:t>62</w:t>
          </w:r>
          <w:r>
            <w:rPr>
              <w:rFonts w:hint="eastAsia"/>
            </w:rPr>
            <w:fldChar w:fldCharType="end"/>
          </w:r>
          <w:r>
            <w:rPr>
              <w:rFonts w:hint="eastAsia"/>
            </w:rPr>
            <w:fldChar w:fldCharType="end"/>
          </w:r>
        </w:p>
        <w:p w14:paraId="35870174">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"_Toc175233401" </w:instrText>
          </w:r>
          <w:r>
            <w:fldChar w:fldCharType="separate"/>
          </w:r>
          <w:r>
            <w:rPr>
              <w:rStyle w:val="40"/>
              <w:rFonts w:hint="eastAsia" w:cs="Times New Roman"/>
            </w:rPr>
            <w:t>8.1.4</w:t>
          </w:r>
          <w:r>
            <w:rPr>
              <w:rFonts w:hint="eastAsia" w:asciiTheme="minorHAnsi" w:hAnsiTheme="minorHAnsi" w:eastAsiaTheme="minorEastAsia" w:cstheme="minorBidi"/>
              <w:sz w:val="21"/>
              <w:szCs w:val="22"/>
              <w14:ligatures w14:val="standardContextual"/>
            </w:rPr>
            <w:tab/>
          </w:r>
          <w:r>
            <w:rPr>
              <w:rStyle w:val="40"/>
              <w:rFonts w:hint="eastAsia"/>
            </w:rPr>
            <w:t>实施风险</w:t>
          </w:r>
          <w:r>
            <w:rPr>
              <w:rFonts w:hint="eastAsia"/>
            </w:rPr>
            <w:tab/>
          </w:r>
          <w:r>
            <w:rPr>
              <w:rFonts w:hint="eastAsia"/>
            </w:rPr>
            <w:fldChar w:fldCharType="begin"/>
          </w:r>
          <w:r>
            <w:rPr>
              <w:rFonts w:hint="eastAsia"/>
            </w:rPr>
            <w:instrText xml:space="preserve"> </w:instrText>
          </w:r>
          <w:r>
            <w:instrText xml:space="preserve">PAGEREF _Toc175233401 \h</w:instrText>
          </w:r>
          <w:r>
            <w:rPr>
              <w:rFonts w:hint="eastAsia"/>
            </w:rPr>
            <w:instrText xml:space="preserve"> </w:instrText>
          </w:r>
          <w:r>
            <w:rPr>
              <w:rFonts w:hint="eastAsia"/>
            </w:rPr>
            <w:fldChar w:fldCharType="separate"/>
          </w:r>
          <w:r>
            <w:rPr>
              <w:rFonts w:hint="eastAsia"/>
            </w:rPr>
            <w:t>62</w:t>
          </w:r>
          <w:r>
            <w:rPr>
              <w:rFonts w:hint="eastAsia"/>
            </w:rPr>
            <w:fldChar w:fldCharType="end"/>
          </w:r>
          <w:r>
            <w:rPr>
              <w:rFonts w:hint="eastAsia"/>
            </w:rPr>
            <w:fldChar w:fldCharType="end"/>
          </w:r>
        </w:p>
        <w:p w14:paraId="174F94C9">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"_Toc175233402" </w:instrText>
          </w:r>
          <w:r>
            <w:fldChar w:fldCharType="separate"/>
          </w:r>
          <w:r>
            <w:rPr>
              <w:rStyle w:val="40"/>
              <w:rFonts w:hint="eastAsia" w:cs="Times New Roman"/>
            </w:rPr>
            <w:t>8.2</w:t>
          </w:r>
          <w:r>
            <w:rPr>
              <w:rFonts w:hint="eastAsia" w:asciiTheme="minorHAnsi" w:hAnsiTheme="minorHAnsi" w:eastAsiaTheme="minorEastAsia" w:cstheme="minorBidi"/>
              <w:szCs w:val="22"/>
              <w14:ligatures w14:val="standardContextual"/>
            </w:rPr>
            <w:tab/>
          </w:r>
          <w:r>
            <w:rPr>
              <w:rStyle w:val="40"/>
              <w:rFonts w:hint="eastAsia"/>
            </w:rPr>
            <w:t>风险对策与管理</w:t>
          </w:r>
          <w:r>
            <w:rPr>
              <w:rFonts w:hint="eastAsia"/>
            </w:rPr>
            <w:tab/>
          </w:r>
          <w:r>
            <w:rPr>
              <w:rFonts w:hint="eastAsia"/>
            </w:rPr>
            <w:fldChar w:fldCharType="begin"/>
          </w:r>
          <w:r>
            <w:rPr>
              <w:rFonts w:hint="eastAsia"/>
            </w:rPr>
            <w:instrText xml:space="preserve"> </w:instrText>
          </w:r>
          <w:r>
            <w:instrText xml:space="preserve">PAGEREF _Toc175233402 \h</w:instrText>
          </w:r>
          <w:r>
            <w:rPr>
              <w:rFonts w:hint="eastAsia"/>
            </w:rPr>
            <w:instrText xml:space="preserve"> </w:instrText>
          </w:r>
          <w:r>
            <w:rPr>
              <w:rFonts w:hint="eastAsia"/>
            </w:rPr>
            <w:fldChar w:fldCharType="separate"/>
          </w:r>
          <w:r>
            <w:rPr>
              <w:rFonts w:hint="eastAsia"/>
            </w:rPr>
            <w:t>64</w:t>
          </w:r>
          <w:r>
            <w:rPr>
              <w:rFonts w:hint="eastAsia"/>
            </w:rPr>
            <w:fldChar w:fldCharType="end"/>
          </w:r>
          <w:r>
            <w:rPr>
              <w:rFonts w:hint="eastAsia"/>
            </w:rPr>
            <w:fldChar w:fldCharType="end"/>
          </w:r>
        </w:p>
        <w:p w14:paraId="630BAE19">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"_Toc175233403" </w:instrText>
          </w:r>
          <w:r>
            <w:fldChar w:fldCharType="separate"/>
          </w:r>
          <w:r>
            <w:rPr>
              <w:rStyle w:val="40"/>
              <w:rFonts w:hint="eastAsia" w:cs="Times New Roman"/>
            </w:rPr>
            <w:t>8.2.1</w:t>
          </w:r>
          <w:r>
            <w:rPr>
              <w:rFonts w:hint="eastAsia" w:asciiTheme="minorHAnsi" w:hAnsiTheme="minorHAnsi" w:eastAsiaTheme="minorEastAsia" w:cstheme="minorBidi"/>
              <w:sz w:val="21"/>
              <w:szCs w:val="22"/>
              <w14:ligatures w14:val="standardContextual"/>
            </w:rPr>
            <w:tab/>
          </w:r>
          <w:r>
            <w:rPr>
              <w:rStyle w:val="40"/>
              <w:rFonts w:hint="eastAsia"/>
            </w:rPr>
            <w:t>问题和风险管理措施</w:t>
          </w:r>
          <w:r>
            <w:rPr>
              <w:rFonts w:hint="eastAsia"/>
            </w:rPr>
            <w:tab/>
          </w:r>
          <w:r>
            <w:rPr>
              <w:rFonts w:hint="eastAsia"/>
            </w:rPr>
            <w:fldChar w:fldCharType="begin"/>
          </w:r>
          <w:r>
            <w:rPr>
              <w:rFonts w:hint="eastAsia"/>
            </w:rPr>
            <w:instrText xml:space="preserve"> </w:instrText>
          </w:r>
          <w:r>
            <w:instrText xml:space="preserve">PAGEREF _Toc175233403 \h</w:instrText>
          </w:r>
          <w:r>
            <w:rPr>
              <w:rFonts w:hint="eastAsia"/>
            </w:rPr>
            <w:instrText xml:space="preserve"> </w:instrText>
          </w:r>
          <w:r>
            <w:rPr>
              <w:rFonts w:hint="eastAsia"/>
            </w:rPr>
            <w:fldChar w:fldCharType="separate"/>
          </w:r>
          <w:r>
            <w:rPr>
              <w:rFonts w:hint="eastAsia"/>
            </w:rPr>
            <w:t>64</w:t>
          </w:r>
          <w:r>
            <w:rPr>
              <w:rFonts w:hint="eastAsia"/>
            </w:rPr>
            <w:fldChar w:fldCharType="end"/>
          </w:r>
          <w:r>
            <w:rPr>
              <w:rFonts w:hint="eastAsia"/>
            </w:rPr>
            <w:fldChar w:fldCharType="end"/>
          </w:r>
        </w:p>
        <w:p w14:paraId="5222CF12">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"_Toc175233404" </w:instrText>
          </w:r>
          <w:r>
            <w:fldChar w:fldCharType="separate"/>
          </w:r>
          <w:r>
            <w:rPr>
              <w:rStyle w:val="40"/>
              <w:rFonts w:hint="eastAsia" w:cs="Times New Roman"/>
            </w:rPr>
            <w:t>8.2.2</w:t>
          </w:r>
          <w:r>
            <w:rPr>
              <w:rFonts w:hint="eastAsia" w:asciiTheme="minorHAnsi" w:hAnsiTheme="minorHAnsi" w:eastAsiaTheme="minorEastAsia" w:cstheme="minorBidi"/>
              <w:sz w:val="21"/>
              <w:szCs w:val="22"/>
              <w14:ligatures w14:val="standardContextual"/>
            </w:rPr>
            <w:tab/>
          </w:r>
          <w:r>
            <w:rPr>
              <w:rStyle w:val="40"/>
              <w:rFonts w:hint="eastAsia"/>
            </w:rPr>
            <w:t>过程控制风险</w:t>
          </w:r>
          <w:r>
            <w:rPr>
              <w:rFonts w:hint="eastAsia"/>
            </w:rPr>
            <w:tab/>
          </w:r>
          <w:r>
            <w:rPr>
              <w:rFonts w:hint="eastAsia"/>
            </w:rPr>
            <w:fldChar w:fldCharType="begin"/>
          </w:r>
          <w:r>
            <w:rPr>
              <w:rFonts w:hint="eastAsia"/>
            </w:rPr>
            <w:instrText xml:space="preserve"> </w:instrText>
          </w:r>
          <w:r>
            <w:instrText xml:space="preserve">PAGEREF _Toc175233404 \h</w:instrText>
          </w:r>
          <w:r>
            <w:rPr>
              <w:rFonts w:hint="eastAsia"/>
            </w:rPr>
            <w:instrText xml:space="preserve"> </w:instrText>
          </w:r>
          <w:r>
            <w:rPr>
              <w:rFonts w:hint="eastAsia"/>
            </w:rPr>
            <w:fldChar w:fldCharType="separate"/>
          </w:r>
          <w:r>
            <w:rPr>
              <w:rFonts w:hint="eastAsia"/>
            </w:rPr>
            <w:t>66</w:t>
          </w:r>
          <w:r>
            <w:rPr>
              <w:rFonts w:hint="eastAsia"/>
            </w:rPr>
            <w:fldChar w:fldCharType="end"/>
          </w:r>
          <w:r>
            <w:rPr>
              <w:rFonts w:hint="eastAsia"/>
            </w:rPr>
            <w:fldChar w:fldCharType="end"/>
          </w:r>
        </w:p>
        <w:p w14:paraId="1C6EC526">
          <w:pPr>
            <w:pStyle w:val="19"/>
            <w:tabs>
              <w:tab w:val="left" w:pos="1680"/>
              <w:tab w:val="right" w:leader="dot" w:pos="8296"/>
            </w:tabs>
            <w:ind w:left="1120"/>
            <w:rPr>
              <w:rFonts w:hint="eastAsia" w:asciiTheme="minorHAnsi" w:hAnsiTheme="minorHAnsi" w:eastAsiaTheme="minorEastAsia" w:cstheme="minorBidi"/>
              <w:sz w:val="21"/>
              <w:szCs w:val="22"/>
              <w14:ligatures w14:val="standardContextual"/>
            </w:rPr>
          </w:pPr>
          <w:r>
            <w:fldChar w:fldCharType="begin"/>
          </w:r>
          <w:r>
            <w:instrText xml:space="preserve"> HYPERLINK \l "_Toc175233405" </w:instrText>
          </w:r>
          <w:r>
            <w:fldChar w:fldCharType="separate"/>
          </w:r>
          <w:r>
            <w:rPr>
              <w:rStyle w:val="40"/>
              <w:rFonts w:hint="eastAsia" w:cs="Times New Roman"/>
            </w:rPr>
            <w:t>8.2.3</w:t>
          </w:r>
          <w:r>
            <w:rPr>
              <w:rFonts w:hint="eastAsia" w:asciiTheme="minorHAnsi" w:hAnsiTheme="minorHAnsi" w:eastAsiaTheme="minorEastAsia" w:cstheme="minorBidi"/>
              <w:sz w:val="21"/>
              <w:szCs w:val="22"/>
              <w14:ligatures w14:val="standardContextual"/>
            </w:rPr>
            <w:tab/>
          </w:r>
          <w:r>
            <w:rPr>
              <w:rStyle w:val="40"/>
              <w:rFonts w:hint="eastAsia"/>
            </w:rPr>
            <w:t>协作关系</w:t>
          </w:r>
          <w:r>
            <w:rPr>
              <w:rFonts w:hint="eastAsia"/>
            </w:rPr>
            <w:tab/>
          </w:r>
          <w:r>
            <w:rPr>
              <w:rFonts w:hint="eastAsia"/>
            </w:rPr>
            <w:fldChar w:fldCharType="begin"/>
          </w:r>
          <w:r>
            <w:rPr>
              <w:rFonts w:hint="eastAsia"/>
            </w:rPr>
            <w:instrText xml:space="preserve"> </w:instrText>
          </w:r>
          <w:r>
            <w:instrText xml:space="preserve">PAGEREF _Toc175233405 \h</w:instrText>
          </w:r>
          <w:r>
            <w:rPr>
              <w:rFonts w:hint="eastAsia"/>
            </w:rPr>
            <w:instrText xml:space="preserve"> </w:instrText>
          </w:r>
          <w:r>
            <w:rPr>
              <w:rFonts w:hint="eastAsia"/>
            </w:rPr>
            <w:fldChar w:fldCharType="separate"/>
          </w:r>
          <w:r>
            <w:rPr>
              <w:rFonts w:hint="eastAsia"/>
            </w:rPr>
            <w:t>68</w:t>
          </w:r>
          <w:r>
            <w:rPr>
              <w:rFonts w:hint="eastAsia"/>
            </w:rPr>
            <w:fldChar w:fldCharType="end"/>
          </w:r>
          <w:r>
            <w:rPr>
              <w:rFonts w:hint="eastAsia"/>
            </w:rPr>
            <w:fldChar w:fldCharType="end"/>
          </w:r>
        </w:p>
        <w:p w14:paraId="608E13F3">
          <w:pPr>
            <w:pStyle w:val="25"/>
            <w:tabs>
              <w:tab w:val="right" w:leader="dot" w:pos="8296"/>
            </w:tabs>
            <w:rPr>
              <w:rFonts w:hint="eastAsia" w:asciiTheme="minorHAnsi" w:hAnsiTheme="minorHAnsi" w:eastAsiaTheme="minorEastAsia" w:cstheme="minorBidi"/>
              <w:b w:val="0"/>
              <w:sz w:val="21"/>
              <w:szCs w:val="22"/>
              <w14:ligatures w14:val="standardContextual"/>
            </w:rPr>
          </w:pPr>
          <w:r>
            <w:fldChar w:fldCharType="begin"/>
          </w:r>
          <w:r>
            <w:instrText xml:space="preserve"> HYPERLINK \l "_Toc175233406" </w:instrText>
          </w:r>
          <w:r>
            <w:fldChar w:fldCharType="separate"/>
          </w:r>
          <w:r>
            <w:rPr>
              <w:rStyle w:val="40"/>
              <w:rFonts w:hint="eastAsia" w:hAnsi="仿宋"/>
            </w:rPr>
            <w:t>第九章</w:t>
          </w:r>
          <w:r>
            <w:rPr>
              <w:rStyle w:val="40"/>
              <w:rFonts w:hint="eastAsia"/>
            </w:rPr>
            <w:t xml:space="preserve"> 招标方案</w:t>
          </w:r>
          <w:r>
            <w:rPr>
              <w:rFonts w:hint="eastAsia"/>
            </w:rPr>
            <w:tab/>
          </w:r>
          <w:r>
            <w:rPr>
              <w:rFonts w:hint="eastAsia"/>
            </w:rPr>
            <w:fldChar w:fldCharType="begin"/>
          </w:r>
          <w:r>
            <w:rPr>
              <w:rFonts w:hint="eastAsia"/>
            </w:rPr>
            <w:instrText xml:space="preserve"> </w:instrText>
          </w:r>
          <w:r>
            <w:instrText xml:space="preserve">PAGEREF _Toc175233406 \h</w:instrText>
          </w:r>
          <w:r>
            <w:rPr>
              <w:rFonts w:hint="eastAsia"/>
            </w:rPr>
            <w:instrText xml:space="preserve"> </w:instrText>
          </w:r>
          <w:r>
            <w:rPr>
              <w:rFonts w:hint="eastAsia"/>
            </w:rPr>
            <w:fldChar w:fldCharType="separate"/>
          </w:r>
          <w:r>
            <w:rPr>
              <w:rFonts w:hint="eastAsia"/>
            </w:rPr>
            <w:t>69</w:t>
          </w:r>
          <w:r>
            <w:rPr>
              <w:rFonts w:hint="eastAsia"/>
            </w:rPr>
            <w:fldChar w:fldCharType="end"/>
          </w:r>
          <w:r>
            <w:rPr>
              <w:rFonts w:hint="eastAsia"/>
            </w:rPr>
            <w:fldChar w:fldCharType="end"/>
          </w:r>
        </w:p>
        <w:p w14:paraId="45A0469D">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"_Toc175233407" </w:instrText>
          </w:r>
          <w:r>
            <w:fldChar w:fldCharType="separate"/>
          </w:r>
          <w:r>
            <w:rPr>
              <w:rStyle w:val="40"/>
              <w:rFonts w:hint="eastAsia" w:cs="Times New Roman"/>
            </w:rPr>
            <w:t>9.1</w:t>
          </w:r>
          <w:r>
            <w:rPr>
              <w:rFonts w:hint="eastAsia" w:asciiTheme="minorHAnsi" w:hAnsiTheme="minorHAnsi" w:eastAsiaTheme="minorEastAsia" w:cstheme="minorBidi"/>
              <w:szCs w:val="22"/>
              <w14:ligatures w14:val="standardContextual"/>
            </w:rPr>
            <w:tab/>
          </w:r>
          <w:r>
            <w:rPr>
              <w:rStyle w:val="40"/>
              <w:rFonts w:hint="eastAsia"/>
            </w:rPr>
            <w:t>招标依据</w:t>
          </w:r>
          <w:r>
            <w:rPr>
              <w:rFonts w:hint="eastAsia"/>
            </w:rPr>
            <w:tab/>
          </w:r>
          <w:r>
            <w:rPr>
              <w:rFonts w:hint="eastAsia"/>
            </w:rPr>
            <w:fldChar w:fldCharType="begin"/>
          </w:r>
          <w:r>
            <w:rPr>
              <w:rFonts w:hint="eastAsia"/>
            </w:rPr>
            <w:instrText xml:space="preserve"> </w:instrText>
          </w:r>
          <w:r>
            <w:instrText xml:space="preserve">PAGEREF _Toc175233407 \h</w:instrText>
          </w:r>
          <w:r>
            <w:rPr>
              <w:rFonts w:hint="eastAsia"/>
            </w:rPr>
            <w:instrText xml:space="preserve"> </w:instrText>
          </w:r>
          <w:r>
            <w:rPr>
              <w:rFonts w:hint="eastAsia"/>
            </w:rPr>
            <w:fldChar w:fldCharType="separate"/>
          </w:r>
          <w:r>
            <w:rPr>
              <w:rFonts w:hint="eastAsia"/>
            </w:rPr>
            <w:t>69</w:t>
          </w:r>
          <w:r>
            <w:rPr>
              <w:rFonts w:hint="eastAsia"/>
            </w:rPr>
            <w:fldChar w:fldCharType="end"/>
          </w:r>
          <w:r>
            <w:rPr>
              <w:rFonts w:hint="eastAsia"/>
            </w:rPr>
            <w:fldChar w:fldCharType="end"/>
          </w:r>
        </w:p>
        <w:p w14:paraId="30C1E01C">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"_Toc175233408" </w:instrText>
          </w:r>
          <w:r>
            <w:fldChar w:fldCharType="separate"/>
          </w:r>
          <w:r>
            <w:rPr>
              <w:rStyle w:val="40"/>
              <w:rFonts w:hint="eastAsia" w:cs="Times New Roman"/>
            </w:rPr>
            <w:t>9.2</w:t>
          </w:r>
          <w:r>
            <w:rPr>
              <w:rFonts w:hint="eastAsia" w:asciiTheme="minorHAnsi" w:hAnsiTheme="minorHAnsi" w:eastAsiaTheme="minorEastAsia" w:cstheme="minorBidi"/>
              <w:szCs w:val="22"/>
              <w14:ligatures w14:val="standardContextual"/>
            </w:rPr>
            <w:tab/>
          </w:r>
          <w:r>
            <w:rPr>
              <w:rStyle w:val="40"/>
              <w:rFonts w:hint="eastAsia"/>
            </w:rPr>
            <w:t>招标范围与分包依据</w:t>
          </w:r>
          <w:r>
            <w:rPr>
              <w:rFonts w:hint="eastAsia"/>
            </w:rPr>
            <w:tab/>
          </w:r>
          <w:r>
            <w:rPr>
              <w:rFonts w:hint="eastAsia"/>
            </w:rPr>
            <w:fldChar w:fldCharType="begin"/>
          </w:r>
          <w:r>
            <w:rPr>
              <w:rFonts w:hint="eastAsia"/>
            </w:rPr>
            <w:instrText xml:space="preserve"> </w:instrText>
          </w:r>
          <w:r>
            <w:instrText xml:space="preserve">PAGEREF _Toc175233408 \h</w:instrText>
          </w:r>
          <w:r>
            <w:rPr>
              <w:rFonts w:hint="eastAsia"/>
            </w:rPr>
            <w:instrText xml:space="preserve"> </w:instrText>
          </w:r>
          <w:r>
            <w:rPr>
              <w:rFonts w:hint="eastAsia"/>
            </w:rPr>
            <w:fldChar w:fldCharType="separate"/>
          </w:r>
          <w:r>
            <w:rPr>
              <w:rFonts w:hint="eastAsia"/>
            </w:rPr>
            <w:t>69</w:t>
          </w:r>
          <w:r>
            <w:rPr>
              <w:rFonts w:hint="eastAsia"/>
            </w:rPr>
            <w:fldChar w:fldCharType="end"/>
          </w:r>
          <w:r>
            <w:rPr>
              <w:rFonts w:hint="eastAsia"/>
            </w:rPr>
            <w:fldChar w:fldCharType="end"/>
          </w:r>
        </w:p>
        <w:p w14:paraId="18BF5B4E">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"_Toc175233409" </w:instrText>
          </w:r>
          <w:r>
            <w:fldChar w:fldCharType="separate"/>
          </w:r>
          <w:r>
            <w:rPr>
              <w:rStyle w:val="40"/>
              <w:rFonts w:hint="eastAsia" w:cs="Times New Roman"/>
            </w:rPr>
            <w:t>9.3</w:t>
          </w:r>
          <w:r>
            <w:rPr>
              <w:rFonts w:hint="eastAsia" w:asciiTheme="minorHAnsi" w:hAnsiTheme="minorHAnsi" w:eastAsiaTheme="minorEastAsia" w:cstheme="minorBidi"/>
              <w:szCs w:val="22"/>
              <w14:ligatures w14:val="standardContextual"/>
            </w:rPr>
            <w:tab/>
          </w:r>
          <w:r>
            <w:rPr>
              <w:rStyle w:val="40"/>
              <w:rFonts w:hint="eastAsia"/>
            </w:rPr>
            <w:t>招标组织形式</w:t>
          </w:r>
          <w:r>
            <w:rPr>
              <w:rFonts w:hint="eastAsia"/>
            </w:rPr>
            <w:tab/>
          </w:r>
          <w:r>
            <w:rPr>
              <w:rFonts w:hint="eastAsia"/>
            </w:rPr>
            <w:fldChar w:fldCharType="begin"/>
          </w:r>
          <w:r>
            <w:rPr>
              <w:rFonts w:hint="eastAsia"/>
            </w:rPr>
            <w:instrText xml:space="preserve"> </w:instrText>
          </w:r>
          <w:r>
            <w:instrText xml:space="preserve">PAGEREF _Toc175233409 \h</w:instrText>
          </w:r>
          <w:r>
            <w:rPr>
              <w:rFonts w:hint="eastAsia"/>
            </w:rPr>
            <w:instrText xml:space="preserve"> </w:instrText>
          </w:r>
          <w:r>
            <w:rPr>
              <w:rFonts w:hint="eastAsia"/>
            </w:rPr>
            <w:fldChar w:fldCharType="separate"/>
          </w:r>
          <w:r>
            <w:rPr>
              <w:rFonts w:hint="eastAsia"/>
            </w:rPr>
            <w:t>69</w:t>
          </w:r>
          <w:r>
            <w:rPr>
              <w:rFonts w:hint="eastAsia"/>
            </w:rPr>
            <w:fldChar w:fldCharType="end"/>
          </w:r>
          <w:r>
            <w:rPr>
              <w:rFonts w:hint="eastAsia"/>
            </w:rPr>
            <w:fldChar w:fldCharType="end"/>
          </w:r>
        </w:p>
        <w:p w14:paraId="001E7D9B">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"_Toc175233410" </w:instrText>
          </w:r>
          <w:r>
            <w:fldChar w:fldCharType="separate"/>
          </w:r>
          <w:r>
            <w:rPr>
              <w:rStyle w:val="40"/>
              <w:rFonts w:hint="eastAsia" w:cs="Times New Roman"/>
              <w:spacing w:val="-2"/>
            </w:rPr>
            <w:t>9.4</w:t>
          </w:r>
          <w:r>
            <w:rPr>
              <w:rFonts w:hint="eastAsia" w:asciiTheme="minorHAnsi" w:hAnsiTheme="minorHAnsi" w:eastAsiaTheme="minorEastAsia" w:cstheme="minorBidi"/>
              <w:szCs w:val="22"/>
              <w14:ligatures w14:val="standardContextual"/>
            </w:rPr>
            <w:tab/>
          </w:r>
          <w:r>
            <w:rPr>
              <w:rStyle w:val="40"/>
              <w:rFonts w:hint="eastAsia" w:ascii="Times New Roman" w:hAnsi="Times New Roman" w:cs="Times New Roman"/>
              <w:spacing w:val="-2"/>
            </w:rPr>
            <w:t>招标方式</w:t>
          </w:r>
          <w:r>
            <w:rPr>
              <w:rFonts w:hint="eastAsia"/>
            </w:rPr>
            <w:tab/>
          </w:r>
          <w:r>
            <w:rPr>
              <w:rFonts w:hint="eastAsia"/>
            </w:rPr>
            <w:fldChar w:fldCharType="begin"/>
          </w:r>
          <w:r>
            <w:rPr>
              <w:rFonts w:hint="eastAsia"/>
            </w:rPr>
            <w:instrText xml:space="preserve"> </w:instrText>
          </w:r>
          <w:r>
            <w:instrText xml:space="preserve">PAGEREF _Toc175233410 \h</w:instrText>
          </w:r>
          <w:r>
            <w:rPr>
              <w:rFonts w:hint="eastAsia"/>
            </w:rPr>
            <w:instrText xml:space="preserve"> </w:instrText>
          </w:r>
          <w:r>
            <w:rPr>
              <w:rFonts w:hint="eastAsia"/>
            </w:rPr>
            <w:fldChar w:fldCharType="separate"/>
          </w:r>
          <w:r>
            <w:rPr>
              <w:rFonts w:hint="eastAsia"/>
            </w:rPr>
            <w:t>69</w:t>
          </w:r>
          <w:r>
            <w:rPr>
              <w:rFonts w:hint="eastAsia"/>
            </w:rPr>
            <w:fldChar w:fldCharType="end"/>
          </w:r>
          <w:r>
            <w:rPr>
              <w:rFonts w:hint="eastAsia"/>
            </w:rPr>
            <w:fldChar w:fldCharType="end"/>
          </w:r>
        </w:p>
        <w:p w14:paraId="2CC5549D">
          <w:pPr>
            <w:pStyle w:val="25"/>
            <w:tabs>
              <w:tab w:val="right" w:leader="dot" w:pos="8296"/>
            </w:tabs>
            <w:rPr>
              <w:rFonts w:hint="eastAsia" w:asciiTheme="minorHAnsi" w:hAnsiTheme="minorHAnsi" w:eastAsiaTheme="minorEastAsia" w:cstheme="minorBidi"/>
              <w:b w:val="0"/>
              <w:sz w:val="21"/>
              <w:szCs w:val="22"/>
              <w14:ligatures w14:val="standardContextual"/>
            </w:rPr>
          </w:pPr>
          <w:r>
            <w:fldChar w:fldCharType="begin"/>
          </w:r>
          <w:r>
            <w:instrText xml:space="preserve"> HYPERLINK \l "_Toc175233411" </w:instrText>
          </w:r>
          <w:r>
            <w:fldChar w:fldCharType="separate"/>
          </w:r>
          <w:r>
            <w:rPr>
              <w:rStyle w:val="40"/>
              <w:rFonts w:hint="eastAsia" w:hAnsi="仿宋"/>
            </w:rPr>
            <w:t>第十章</w:t>
          </w:r>
          <w:r>
            <w:rPr>
              <w:rStyle w:val="40"/>
              <w:rFonts w:hint="eastAsia"/>
            </w:rPr>
            <w:t xml:space="preserve"> 项目建设对环境的影响</w:t>
          </w:r>
          <w:r>
            <w:rPr>
              <w:rFonts w:hint="eastAsia"/>
            </w:rPr>
            <w:tab/>
          </w:r>
          <w:r>
            <w:rPr>
              <w:rFonts w:hint="eastAsia"/>
            </w:rPr>
            <w:fldChar w:fldCharType="begin"/>
          </w:r>
          <w:r>
            <w:rPr>
              <w:rFonts w:hint="eastAsia"/>
            </w:rPr>
            <w:instrText xml:space="preserve"> </w:instrText>
          </w:r>
          <w:r>
            <w:instrText xml:space="preserve">PAGEREF _Toc175233411 \h</w:instrText>
          </w:r>
          <w:r>
            <w:rPr>
              <w:rFonts w:hint="eastAsia"/>
            </w:rPr>
            <w:instrText xml:space="preserve"> </w:instrText>
          </w:r>
          <w:r>
            <w:rPr>
              <w:rFonts w:hint="eastAsia"/>
            </w:rPr>
            <w:fldChar w:fldCharType="separate"/>
          </w:r>
          <w:r>
            <w:rPr>
              <w:rFonts w:hint="eastAsia"/>
            </w:rPr>
            <w:t>71</w:t>
          </w:r>
          <w:r>
            <w:rPr>
              <w:rFonts w:hint="eastAsia"/>
            </w:rPr>
            <w:fldChar w:fldCharType="end"/>
          </w:r>
          <w:r>
            <w:rPr>
              <w:rFonts w:hint="eastAsia"/>
            </w:rPr>
            <w:fldChar w:fldCharType="end"/>
          </w:r>
        </w:p>
        <w:p w14:paraId="294BD272">
          <w:pPr>
            <w:pStyle w:val="25"/>
            <w:tabs>
              <w:tab w:val="right" w:leader="dot" w:pos="8296"/>
            </w:tabs>
            <w:rPr>
              <w:rFonts w:hint="eastAsia" w:asciiTheme="minorHAnsi" w:hAnsiTheme="minorHAnsi" w:eastAsiaTheme="minorEastAsia" w:cstheme="minorBidi"/>
              <w:b w:val="0"/>
              <w:sz w:val="21"/>
              <w:szCs w:val="22"/>
              <w14:ligatures w14:val="standardContextual"/>
            </w:rPr>
          </w:pPr>
          <w:r>
            <w:fldChar w:fldCharType="begin"/>
          </w:r>
          <w:r>
            <w:instrText xml:space="preserve"> HYPERLINK \l "_Toc175233412" </w:instrText>
          </w:r>
          <w:r>
            <w:fldChar w:fldCharType="separate"/>
          </w:r>
          <w:r>
            <w:rPr>
              <w:rStyle w:val="40"/>
              <w:rFonts w:hint="eastAsia" w:hAnsi="仿宋"/>
            </w:rPr>
            <w:t>第十一章</w:t>
          </w:r>
          <w:r>
            <w:rPr>
              <w:rStyle w:val="40"/>
              <w:rFonts w:hint="eastAsia"/>
            </w:rPr>
            <w:t xml:space="preserve"> 项目实施效益</w:t>
          </w:r>
          <w:r>
            <w:rPr>
              <w:rFonts w:hint="eastAsia"/>
            </w:rPr>
            <w:tab/>
          </w:r>
          <w:r>
            <w:rPr>
              <w:rFonts w:hint="eastAsia"/>
            </w:rPr>
            <w:fldChar w:fldCharType="begin"/>
          </w:r>
          <w:r>
            <w:rPr>
              <w:rFonts w:hint="eastAsia"/>
            </w:rPr>
            <w:instrText xml:space="preserve"> </w:instrText>
          </w:r>
          <w:r>
            <w:instrText xml:space="preserve">PAGEREF _Toc175233412 \h</w:instrText>
          </w:r>
          <w:r>
            <w:rPr>
              <w:rFonts w:hint="eastAsia"/>
            </w:rPr>
            <w:instrText xml:space="preserve"> </w:instrText>
          </w:r>
          <w:r>
            <w:rPr>
              <w:rFonts w:hint="eastAsia"/>
            </w:rPr>
            <w:fldChar w:fldCharType="separate"/>
          </w:r>
          <w:r>
            <w:rPr>
              <w:rFonts w:hint="eastAsia"/>
            </w:rPr>
            <w:t>72</w:t>
          </w:r>
          <w:r>
            <w:rPr>
              <w:rFonts w:hint="eastAsia"/>
            </w:rPr>
            <w:fldChar w:fldCharType="end"/>
          </w:r>
          <w:r>
            <w:rPr>
              <w:rFonts w:hint="eastAsia"/>
            </w:rPr>
            <w:fldChar w:fldCharType="end"/>
          </w:r>
        </w:p>
        <w:p w14:paraId="5CD5253F">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"_Toc175233413" </w:instrText>
          </w:r>
          <w:r>
            <w:fldChar w:fldCharType="separate"/>
          </w:r>
          <w:r>
            <w:rPr>
              <w:rStyle w:val="40"/>
              <w:rFonts w:hint="eastAsia" w:cs="Times New Roman"/>
            </w:rPr>
            <w:t>11.1</w:t>
          </w:r>
          <w:r>
            <w:rPr>
              <w:rFonts w:hint="eastAsia" w:asciiTheme="minorHAnsi" w:hAnsiTheme="minorHAnsi" w:eastAsiaTheme="minorEastAsia" w:cstheme="minorBidi"/>
              <w:szCs w:val="22"/>
              <w14:ligatures w14:val="standardContextual"/>
            </w:rPr>
            <w:tab/>
          </w:r>
          <w:r>
            <w:rPr>
              <w:rStyle w:val="40"/>
              <w:rFonts w:hint="eastAsia"/>
            </w:rPr>
            <w:t>社会效益</w:t>
          </w:r>
          <w:r>
            <w:rPr>
              <w:rFonts w:hint="eastAsia"/>
            </w:rPr>
            <w:tab/>
          </w:r>
          <w:r>
            <w:rPr>
              <w:rFonts w:hint="eastAsia"/>
            </w:rPr>
            <w:fldChar w:fldCharType="begin"/>
          </w:r>
          <w:r>
            <w:rPr>
              <w:rFonts w:hint="eastAsia"/>
            </w:rPr>
            <w:instrText xml:space="preserve"> </w:instrText>
          </w:r>
          <w:r>
            <w:instrText xml:space="preserve">PAGEREF _Toc175233413 \h</w:instrText>
          </w:r>
          <w:r>
            <w:rPr>
              <w:rFonts w:hint="eastAsia"/>
            </w:rPr>
            <w:instrText xml:space="preserve"> </w:instrText>
          </w:r>
          <w:r>
            <w:rPr>
              <w:rFonts w:hint="eastAsia"/>
            </w:rPr>
            <w:fldChar w:fldCharType="separate"/>
          </w:r>
          <w:r>
            <w:rPr>
              <w:rFonts w:hint="eastAsia"/>
            </w:rPr>
            <w:t>72</w:t>
          </w:r>
          <w:r>
            <w:rPr>
              <w:rFonts w:hint="eastAsia"/>
            </w:rPr>
            <w:fldChar w:fldCharType="end"/>
          </w:r>
          <w:r>
            <w:rPr>
              <w:rFonts w:hint="eastAsia"/>
            </w:rPr>
            <w:fldChar w:fldCharType="end"/>
          </w:r>
        </w:p>
        <w:p w14:paraId="7802C6D0">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"_Toc175233414" </w:instrText>
          </w:r>
          <w:r>
            <w:fldChar w:fldCharType="separate"/>
          </w:r>
          <w:r>
            <w:rPr>
              <w:rStyle w:val="40"/>
              <w:rFonts w:hint="eastAsia" w:cs="Times New Roman"/>
            </w:rPr>
            <w:t>11.2</w:t>
          </w:r>
          <w:r>
            <w:rPr>
              <w:rFonts w:hint="eastAsia" w:asciiTheme="minorHAnsi" w:hAnsiTheme="minorHAnsi" w:eastAsiaTheme="minorEastAsia" w:cstheme="minorBidi"/>
              <w:szCs w:val="22"/>
              <w14:ligatures w14:val="standardContextual"/>
            </w:rPr>
            <w:tab/>
          </w:r>
          <w:r>
            <w:rPr>
              <w:rStyle w:val="40"/>
              <w:rFonts w:hint="eastAsia"/>
            </w:rPr>
            <w:t>经济效益</w:t>
          </w:r>
          <w:r>
            <w:rPr>
              <w:rFonts w:hint="eastAsia"/>
            </w:rPr>
            <w:tab/>
          </w:r>
          <w:r>
            <w:rPr>
              <w:rFonts w:hint="eastAsia"/>
            </w:rPr>
            <w:fldChar w:fldCharType="begin"/>
          </w:r>
          <w:r>
            <w:rPr>
              <w:rFonts w:hint="eastAsia"/>
            </w:rPr>
            <w:instrText xml:space="preserve"> </w:instrText>
          </w:r>
          <w:r>
            <w:instrText xml:space="preserve">PAGEREF _Toc175233414 \h</w:instrText>
          </w:r>
          <w:r>
            <w:rPr>
              <w:rFonts w:hint="eastAsia"/>
            </w:rPr>
            <w:instrText xml:space="preserve"> </w:instrText>
          </w:r>
          <w:r>
            <w:rPr>
              <w:rFonts w:hint="eastAsia"/>
            </w:rPr>
            <w:fldChar w:fldCharType="separate"/>
          </w:r>
          <w:r>
            <w:rPr>
              <w:rFonts w:hint="eastAsia"/>
            </w:rPr>
            <w:t>72</w:t>
          </w:r>
          <w:r>
            <w:rPr>
              <w:rFonts w:hint="eastAsia"/>
            </w:rPr>
            <w:fldChar w:fldCharType="end"/>
          </w:r>
          <w:r>
            <w:rPr>
              <w:rFonts w:hint="eastAsia"/>
            </w:rPr>
            <w:fldChar w:fldCharType="end"/>
          </w:r>
        </w:p>
        <w:p w14:paraId="1D920D1B">
          <w:pPr>
            <w:pStyle w:val="25"/>
            <w:tabs>
              <w:tab w:val="right" w:leader="dot" w:pos="8296"/>
            </w:tabs>
            <w:rPr>
              <w:rFonts w:hint="eastAsia" w:asciiTheme="minorHAnsi" w:hAnsiTheme="minorHAnsi" w:eastAsiaTheme="minorEastAsia" w:cstheme="minorBidi"/>
              <w:b w:val="0"/>
              <w:sz w:val="21"/>
              <w:szCs w:val="22"/>
              <w14:ligatures w14:val="standardContextual"/>
            </w:rPr>
          </w:pPr>
          <w:r>
            <w:fldChar w:fldCharType="begin"/>
          </w:r>
          <w:r>
            <w:instrText xml:space="preserve"> HYPERLINK \l "_Toc175233415" </w:instrText>
          </w:r>
          <w:r>
            <w:fldChar w:fldCharType="separate"/>
          </w:r>
          <w:r>
            <w:rPr>
              <w:rStyle w:val="40"/>
              <w:rFonts w:hint="eastAsia" w:hAnsi="仿宋"/>
            </w:rPr>
            <w:t>第十二章</w:t>
          </w:r>
          <w:r>
            <w:rPr>
              <w:rStyle w:val="40"/>
              <w:rFonts w:hint="eastAsia"/>
            </w:rPr>
            <w:t xml:space="preserve"> 结论和建议</w:t>
          </w:r>
          <w:r>
            <w:rPr>
              <w:rFonts w:hint="eastAsia"/>
            </w:rPr>
            <w:tab/>
          </w:r>
          <w:r>
            <w:rPr>
              <w:rFonts w:hint="eastAsia"/>
            </w:rPr>
            <w:fldChar w:fldCharType="begin"/>
          </w:r>
          <w:r>
            <w:rPr>
              <w:rFonts w:hint="eastAsia"/>
            </w:rPr>
            <w:instrText xml:space="preserve"> </w:instrText>
          </w:r>
          <w:r>
            <w:instrText xml:space="preserve">PAGEREF _Toc175233415 \h</w:instrText>
          </w:r>
          <w:r>
            <w:rPr>
              <w:rFonts w:hint="eastAsia"/>
            </w:rPr>
            <w:instrText xml:space="preserve"> </w:instrText>
          </w:r>
          <w:r>
            <w:rPr>
              <w:rFonts w:hint="eastAsia"/>
            </w:rPr>
            <w:fldChar w:fldCharType="separate"/>
          </w:r>
          <w:r>
            <w:rPr>
              <w:rFonts w:hint="eastAsia"/>
            </w:rPr>
            <w:t>73</w:t>
          </w:r>
          <w:r>
            <w:rPr>
              <w:rFonts w:hint="eastAsia"/>
            </w:rPr>
            <w:fldChar w:fldCharType="end"/>
          </w:r>
          <w:r>
            <w:rPr>
              <w:rFonts w:hint="eastAsia"/>
            </w:rPr>
            <w:fldChar w:fldCharType="end"/>
          </w:r>
        </w:p>
        <w:p w14:paraId="070D7BE2">
          <w:pPr>
            <w:pStyle w:val="25"/>
            <w:tabs>
              <w:tab w:val="right" w:leader="dot" w:pos="8296"/>
            </w:tabs>
            <w:rPr>
              <w:rFonts w:hint="eastAsia" w:asciiTheme="minorHAnsi" w:hAnsiTheme="minorHAnsi" w:eastAsiaTheme="minorEastAsia" w:cstheme="minorBidi"/>
              <w:b w:val="0"/>
              <w:sz w:val="21"/>
              <w:szCs w:val="22"/>
              <w14:ligatures w14:val="standardContextual"/>
            </w:rPr>
          </w:pPr>
          <w:r>
            <w:fldChar w:fldCharType="begin"/>
          </w:r>
          <w:r>
            <w:instrText xml:space="preserve"> HYPERLINK \l "_Toc175233416" </w:instrText>
          </w:r>
          <w:r>
            <w:fldChar w:fldCharType="separate"/>
          </w:r>
          <w:r>
            <w:rPr>
              <w:rStyle w:val="40"/>
              <w:rFonts w:hint="eastAsia" w:hAnsi="仿宋"/>
            </w:rPr>
            <w:t>第十三章</w:t>
          </w:r>
          <w:r>
            <w:rPr>
              <w:rStyle w:val="40"/>
              <w:rFonts w:hint="eastAsia"/>
            </w:rPr>
            <w:t xml:space="preserve"> 附件</w:t>
          </w:r>
          <w:r>
            <w:rPr>
              <w:rFonts w:hint="eastAsia"/>
            </w:rPr>
            <w:tab/>
          </w:r>
          <w:r>
            <w:rPr>
              <w:rFonts w:hint="eastAsia"/>
            </w:rPr>
            <w:fldChar w:fldCharType="begin"/>
          </w:r>
          <w:r>
            <w:rPr>
              <w:rFonts w:hint="eastAsia"/>
            </w:rPr>
            <w:instrText xml:space="preserve"> </w:instrText>
          </w:r>
          <w:r>
            <w:instrText xml:space="preserve">PAGEREF _Toc175233416 \h</w:instrText>
          </w:r>
          <w:r>
            <w:rPr>
              <w:rFonts w:hint="eastAsia"/>
            </w:rPr>
            <w:instrText xml:space="preserve"> </w:instrText>
          </w:r>
          <w:r>
            <w:rPr>
              <w:rFonts w:hint="eastAsia"/>
            </w:rPr>
            <w:fldChar w:fldCharType="separate"/>
          </w:r>
          <w:r>
            <w:rPr>
              <w:rFonts w:hint="eastAsia"/>
            </w:rPr>
            <w:t>74</w:t>
          </w:r>
          <w:r>
            <w:rPr>
              <w:rFonts w:hint="eastAsia"/>
            </w:rPr>
            <w:fldChar w:fldCharType="end"/>
          </w:r>
          <w:r>
            <w:rPr>
              <w:rFonts w:hint="eastAsia"/>
            </w:rPr>
            <w:fldChar w:fldCharType="end"/>
          </w:r>
        </w:p>
        <w:p w14:paraId="2B5653FC">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"_Toc175233417" </w:instrText>
          </w:r>
          <w:r>
            <w:fldChar w:fldCharType="separate"/>
          </w:r>
          <w:r>
            <w:rPr>
              <w:rStyle w:val="40"/>
              <w:rFonts w:hint="eastAsia" w:cs="Times New Roman"/>
            </w:rPr>
            <w:t>13.1</w:t>
          </w:r>
          <w:r>
            <w:rPr>
              <w:rFonts w:hint="eastAsia" w:asciiTheme="minorHAnsi" w:hAnsiTheme="minorHAnsi" w:eastAsiaTheme="minorEastAsia" w:cstheme="minorBidi"/>
              <w:szCs w:val="22"/>
              <w14:ligatures w14:val="standardContextual"/>
            </w:rPr>
            <w:tab/>
          </w:r>
          <w:r>
            <w:rPr>
              <w:rStyle w:val="40"/>
              <w:rFonts w:hint="eastAsia"/>
            </w:rPr>
            <w:t>概算编制依据</w:t>
          </w:r>
          <w:r>
            <w:rPr>
              <w:rFonts w:hint="eastAsia"/>
            </w:rPr>
            <w:tab/>
          </w:r>
          <w:r>
            <w:rPr>
              <w:rFonts w:hint="eastAsia"/>
            </w:rPr>
            <w:fldChar w:fldCharType="begin"/>
          </w:r>
          <w:r>
            <w:rPr>
              <w:rFonts w:hint="eastAsia"/>
            </w:rPr>
            <w:instrText xml:space="preserve"> </w:instrText>
          </w:r>
          <w:r>
            <w:instrText xml:space="preserve">PAGEREF _Toc175233417 \h</w:instrText>
          </w:r>
          <w:r>
            <w:rPr>
              <w:rFonts w:hint="eastAsia"/>
            </w:rPr>
            <w:instrText xml:space="preserve"> </w:instrText>
          </w:r>
          <w:r>
            <w:rPr>
              <w:rFonts w:hint="eastAsia"/>
            </w:rPr>
            <w:fldChar w:fldCharType="separate"/>
          </w:r>
          <w:r>
            <w:rPr>
              <w:rFonts w:hint="eastAsia"/>
            </w:rPr>
            <w:t>74</w:t>
          </w:r>
          <w:r>
            <w:rPr>
              <w:rFonts w:hint="eastAsia"/>
            </w:rPr>
            <w:fldChar w:fldCharType="end"/>
          </w:r>
          <w:r>
            <w:rPr>
              <w:rFonts w:hint="eastAsia"/>
            </w:rPr>
            <w:fldChar w:fldCharType="end"/>
          </w:r>
        </w:p>
        <w:p w14:paraId="29E0BDF2">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"_Toc175233418" </w:instrText>
          </w:r>
          <w:r>
            <w:fldChar w:fldCharType="separate"/>
          </w:r>
          <w:r>
            <w:rPr>
              <w:rStyle w:val="40"/>
              <w:rFonts w:hint="eastAsia" w:cs="Times New Roman"/>
            </w:rPr>
            <w:t>13.2</w:t>
          </w:r>
          <w:r>
            <w:rPr>
              <w:rFonts w:hint="eastAsia" w:asciiTheme="minorHAnsi" w:hAnsiTheme="minorHAnsi" w:eastAsiaTheme="minorEastAsia" w:cstheme="minorBidi"/>
              <w:szCs w:val="22"/>
              <w14:ligatures w14:val="standardContextual"/>
            </w:rPr>
            <w:tab/>
          </w:r>
          <w:r>
            <w:rPr>
              <w:rStyle w:val="40"/>
              <w:rFonts w:hint="eastAsia"/>
            </w:rPr>
            <w:t>《西宁市湟中区农村人畜饮水净化配套工程建设项目概算表》</w:t>
          </w:r>
          <w:r>
            <w:rPr>
              <w:rFonts w:hint="eastAsia"/>
            </w:rPr>
            <w:tab/>
          </w:r>
          <w:r>
            <w:rPr>
              <w:rFonts w:hint="eastAsia"/>
            </w:rPr>
            <w:fldChar w:fldCharType="begin"/>
          </w:r>
          <w:r>
            <w:rPr>
              <w:rFonts w:hint="eastAsia"/>
            </w:rPr>
            <w:instrText xml:space="preserve"> </w:instrText>
          </w:r>
          <w:r>
            <w:instrText xml:space="preserve">PAGEREF _Toc175233418 \h</w:instrText>
          </w:r>
          <w:r>
            <w:rPr>
              <w:rFonts w:hint="eastAsia"/>
            </w:rPr>
            <w:instrText xml:space="preserve"> </w:instrText>
          </w:r>
          <w:r>
            <w:rPr>
              <w:rFonts w:hint="eastAsia"/>
            </w:rPr>
            <w:fldChar w:fldCharType="separate"/>
          </w:r>
          <w:r>
            <w:rPr>
              <w:rFonts w:hint="eastAsia"/>
            </w:rPr>
            <w:t>74</w:t>
          </w:r>
          <w:r>
            <w:rPr>
              <w:rFonts w:hint="eastAsia"/>
            </w:rPr>
            <w:fldChar w:fldCharType="end"/>
          </w:r>
          <w:r>
            <w:rPr>
              <w:rFonts w:hint="eastAsia"/>
            </w:rPr>
            <w:fldChar w:fldCharType="end"/>
          </w:r>
        </w:p>
        <w:p w14:paraId="2DE3A6C3">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"_Toc175233419" </w:instrText>
          </w:r>
          <w:r>
            <w:fldChar w:fldCharType="separate"/>
          </w:r>
          <w:r>
            <w:rPr>
              <w:rStyle w:val="40"/>
              <w:rFonts w:hint="eastAsia" w:cs="Times New Roman"/>
            </w:rPr>
            <w:t>13.3</w:t>
          </w:r>
          <w:r>
            <w:rPr>
              <w:rFonts w:hint="eastAsia" w:asciiTheme="minorHAnsi" w:hAnsiTheme="minorHAnsi" w:eastAsiaTheme="minorEastAsia" w:cstheme="minorBidi"/>
              <w:szCs w:val="22"/>
              <w14:ligatures w14:val="standardContextual"/>
            </w:rPr>
            <w:tab/>
          </w:r>
          <w:r>
            <w:rPr>
              <w:rStyle w:val="40"/>
              <w:rFonts w:hint="eastAsia"/>
            </w:rPr>
            <w:t>设备及安装工程概算表</w:t>
          </w:r>
          <w:r>
            <w:rPr>
              <w:rFonts w:hint="eastAsia"/>
            </w:rPr>
            <w:tab/>
          </w:r>
          <w:r>
            <w:rPr>
              <w:rFonts w:hint="eastAsia"/>
            </w:rPr>
            <w:fldChar w:fldCharType="begin"/>
          </w:r>
          <w:r>
            <w:rPr>
              <w:rFonts w:hint="eastAsia"/>
            </w:rPr>
            <w:instrText xml:space="preserve"> </w:instrText>
          </w:r>
          <w:r>
            <w:instrText xml:space="preserve">PAGEREF _Toc175233419 \h</w:instrText>
          </w:r>
          <w:r>
            <w:rPr>
              <w:rFonts w:hint="eastAsia"/>
            </w:rPr>
            <w:instrText xml:space="preserve"> </w:instrText>
          </w:r>
          <w:r>
            <w:rPr>
              <w:rFonts w:hint="eastAsia"/>
            </w:rPr>
            <w:fldChar w:fldCharType="separate"/>
          </w:r>
          <w:r>
            <w:rPr>
              <w:rFonts w:hint="eastAsia"/>
            </w:rPr>
            <w:t>76</w:t>
          </w:r>
          <w:r>
            <w:rPr>
              <w:rFonts w:hint="eastAsia"/>
            </w:rPr>
            <w:fldChar w:fldCharType="end"/>
          </w:r>
          <w:r>
            <w:rPr>
              <w:rFonts w:hint="eastAsia"/>
            </w:rPr>
            <w:fldChar w:fldCharType="end"/>
          </w:r>
        </w:p>
        <w:p w14:paraId="11814303">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"_Toc175233420" </w:instrText>
          </w:r>
          <w:r>
            <w:fldChar w:fldCharType="separate"/>
          </w:r>
          <w:r>
            <w:rPr>
              <w:rStyle w:val="40"/>
              <w:rFonts w:hint="eastAsia" w:cs="Times New Roman"/>
            </w:rPr>
            <w:t>13.4</w:t>
          </w:r>
          <w:r>
            <w:rPr>
              <w:rFonts w:hint="eastAsia" w:asciiTheme="minorHAnsi" w:hAnsiTheme="minorHAnsi" w:eastAsiaTheme="minorEastAsia" w:cstheme="minorBidi"/>
              <w:szCs w:val="22"/>
              <w14:ligatures w14:val="standardContextual"/>
            </w:rPr>
            <w:tab/>
          </w:r>
          <w:r>
            <w:rPr>
              <w:rStyle w:val="40"/>
              <w:rFonts w:hint="eastAsia"/>
            </w:rPr>
            <w:t>独立费用</w:t>
          </w:r>
          <w:r>
            <w:rPr>
              <w:rFonts w:hint="eastAsia"/>
            </w:rPr>
            <w:tab/>
          </w:r>
          <w:r>
            <w:rPr>
              <w:rFonts w:hint="eastAsia"/>
            </w:rPr>
            <w:fldChar w:fldCharType="begin"/>
          </w:r>
          <w:r>
            <w:rPr>
              <w:rFonts w:hint="eastAsia"/>
            </w:rPr>
            <w:instrText xml:space="preserve"> </w:instrText>
          </w:r>
          <w:r>
            <w:instrText xml:space="preserve">PAGEREF _Toc175233420 \h</w:instrText>
          </w:r>
          <w:r>
            <w:rPr>
              <w:rFonts w:hint="eastAsia"/>
            </w:rPr>
            <w:instrText xml:space="preserve"> </w:instrText>
          </w:r>
          <w:r>
            <w:rPr>
              <w:rFonts w:hint="eastAsia"/>
            </w:rPr>
            <w:fldChar w:fldCharType="separate"/>
          </w:r>
          <w:r>
            <w:rPr>
              <w:rFonts w:hint="eastAsia"/>
            </w:rPr>
            <w:t>84</w:t>
          </w:r>
          <w:r>
            <w:rPr>
              <w:rFonts w:hint="eastAsia"/>
            </w:rPr>
            <w:fldChar w:fldCharType="end"/>
          </w:r>
          <w:r>
            <w:rPr>
              <w:rFonts w:hint="eastAsia"/>
            </w:rPr>
            <w:fldChar w:fldCharType="end"/>
          </w:r>
        </w:p>
        <w:p w14:paraId="26F47819">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"_Toc175233421" </w:instrText>
          </w:r>
          <w:r>
            <w:fldChar w:fldCharType="separate"/>
          </w:r>
          <w:r>
            <w:rPr>
              <w:rStyle w:val="40"/>
              <w:rFonts w:hint="eastAsia" w:cs="Times New Roman"/>
            </w:rPr>
            <w:t>13.5</w:t>
          </w:r>
          <w:r>
            <w:rPr>
              <w:rFonts w:hint="eastAsia" w:asciiTheme="minorHAnsi" w:hAnsiTheme="minorHAnsi" w:eastAsiaTheme="minorEastAsia" w:cstheme="minorBidi"/>
              <w:szCs w:val="22"/>
              <w14:ligatures w14:val="standardContextual"/>
            </w:rPr>
            <w:tab/>
          </w:r>
          <w:r>
            <w:rPr>
              <w:rStyle w:val="40"/>
              <w:rFonts w:hint="eastAsia"/>
            </w:rPr>
            <w:t>临时工程概算表</w:t>
          </w:r>
          <w:r>
            <w:rPr>
              <w:rFonts w:hint="eastAsia"/>
            </w:rPr>
            <w:tab/>
          </w:r>
          <w:r>
            <w:rPr>
              <w:rFonts w:hint="eastAsia"/>
            </w:rPr>
            <w:fldChar w:fldCharType="begin"/>
          </w:r>
          <w:r>
            <w:rPr>
              <w:rFonts w:hint="eastAsia"/>
            </w:rPr>
            <w:instrText xml:space="preserve"> </w:instrText>
          </w:r>
          <w:r>
            <w:instrText xml:space="preserve">PAGEREF _Toc175233421 \h</w:instrText>
          </w:r>
          <w:r>
            <w:rPr>
              <w:rFonts w:hint="eastAsia"/>
            </w:rPr>
            <w:instrText xml:space="preserve"> </w:instrText>
          </w:r>
          <w:r>
            <w:rPr>
              <w:rFonts w:hint="eastAsia"/>
            </w:rPr>
            <w:fldChar w:fldCharType="separate"/>
          </w:r>
          <w:r>
            <w:rPr>
              <w:rFonts w:hint="eastAsia"/>
            </w:rPr>
            <w:t>85</w:t>
          </w:r>
          <w:r>
            <w:rPr>
              <w:rFonts w:hint="eastAsia"/>
            </w:rPr>
            <w:fldChar w:fldCharType="end"/>
          </w:r>
          <w:r>
            <w:rPr>
              <w:rFonts w:hint="eastAsia"/>
            </w:rPr>
            <w:fldChar w:fldCharType="end"/>
          </w:r>
        </w:p>
        <w:p w14:paraId="0BB01ECB">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"_Toc175233422" </w:instrText>
          </w:r>
          <w:r>
            <w:fldChar w:fldCharType="separate"/>
          </w:r>
          <w:r>
            <w:rPr>
              <w:rStyle w:val="40"/>
              <w:rFonts w:hint="eastAsia" w:cs="Times New Roman"/>
            </w:rPr>
            <w:t>13.6</w:t>
          </w:r>
          <w:r>
            <w:rPr>
              <w:rFonts w:hint="eastAsia" w:asciiTheme="minorHAnsi" w:hAnsiTheme="minorHAnsi" w:eastAsiaTheme="minorEastAsia" w:cstheme="minorBidi"/>
              <w:szCs w:val="22"/>
              <w14:ligatures w14:val="standardContextual"/>
            </w:rPr>
            <w:tab/>
          </w:r>
          <w:r>
            <w:rPr>
              <w:rStyle w:val="40"/>
              <w:rFonts w:hint="eastAsia"/>
            </w:rPr>
            <w:t>安装点位图</w:t>
          </w:r>
          <w:r>
            <w:rPr>
              <w:rFonts w:hint="eastAsia"/>
            </w:rPr>
            <w:tab/>
          </w:r>
          <w:r>
            <w:rPr>
              <w:rFonts w:hint="eastAsia"/>
            </w:rPr>
            <w:fldChar w:fldCharType="begin"/>
          </w:r>
          <w:r>
            <w:rPr>
              <w:rFonts w:hint="eastAsia"/>
            </w:rPr>
            <w:instrText xml:space="preserve"> </w:instrText>
          </w:r>
          <w:r>
            <w:instrText xml:space="preserve">PAGEREF _Toc175233422 \h</w:instrText>
          </w:r>
          <w:r>
            <w:rPr>
              <w:rFonts w:hint="eastAsia"/>
            </w:rPr>
            <w:instrText xml:space="preserve"> </w:instrText>
          </w:r>
          <w:r>
            <w:rPr>
              <w:rFonts w:hint="eastAsia"/>
            </w:rPr>
            <w:fldChar w:fldCharType="separate"/>
          </w:r>
          <w:r>
            <w:rPr>
              <w:rFonts w:hint="eastAsia"/>
            </w:rPr>
            <w:t>86</w:t>
          </w:r>
          <w:r>
            <w:rPr>
              <w:rFonts w:hint="eastAsia"/>
            </w:rPr>
            <w:fldChar w:fldCharType="end"/>
          </w:r>
          <w:r>
            <w:rPr>
              <w:rFonts w:hint="eastAsia"/>
            </w:rPr>
            <w:fldChar w:fldCharType="end"/>
          </w:r>
        </w:p>
        <w:p w14:paraId="7E99FEB3">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"_Toc175233423" </w:instrText>
          </w:r>
          <w:r>
            <w:fldChar w:fldCharType="separate"/>
          </w:r>
          <w:r>
            <w:rPr>
              <w:rStyle w:val="40"/>
              <w:rFonts w:hint="eastAsia" w:cs="Times New Roman"/>
            </w:rPr>
            <w:t>13.7</w:t>
          </w:r>
          <w:r>
            <w:rPr>
              <w:rFonts w:hint="eastAsia" w:asciiTheme="minorHAnsi" w:hAnsiTheme="minorHAnsi" w:eastAsiaTheme="minorEastAsia" w:cstheme="minorBidi"/>
              <w:szCs w:val="22"/>
              <w14:ligatures w14:val="standardContextual"/>
            </w:rPr>
            <w:tab/>
          </w:r>
          <w:r>
            <w:rPr>
              <w:rStyle w:val="40"/>
              <w:rFonts w:hint="eastAsia"/>
            </w:rPr>
            <w:t>专家评审意见汇总</w:t>
          </w:r>
          <w:r>
            <w:rPr>
              <w:rFonts w:hint="eastAsia"/>
            </w:rPr>
            <w:tab/>
          </w:r>
          <w:r>
            <w:rPr>
              <w:rFonts w:hint="eastAsia"/>
            </w:rPr>
            <w:fldChar w:fldCharType="begin"/>
          </w:r>
          <w:r>
            <w:rPr>
              <w:rFonts w:hint="eastAsia"/>
            </w:rPr>
            <w:instrText xml:space="preserve"> </w:instrText>
          </w:r>
          <w:r>
            <w:instrText xml:space="preserve">PAGEREF _Toc175233423 \h</w:instrText>
          </w:r>
          <w:r>
            <w:rPr>
              <w:rFonts w:hint="eastAsia"/>
            </w:rPr>
            <w:instrText xml:space="preserve"> </w:instrText>
          </w:r>
          <w:r>
            <w:rPr>
              <w:rFonts w:hint="eastAsia"/>
            </w:rPr>
            <w:fldChar w:fldCharType="separate"/>
          </w:r>
          <w:r>
            <w:rPr>
              <w:rFonts w:hint="eastAsia"/>
            </w:rPr>
            <w:t>96</w:t>
          </w:r>
          <w:r>
            <w:rPr>
              <w:rFonts w:hint="eastAsia"/>
            </w:rPr>
            <w:fldChar w:fldCharType="end"/>
          </w:r>
          <w:r>
            <w:rPr>
              <w:rFonts w:hint="eastAsia"/>
            </w:rPr>
            <w:fldChar w:fldCharType="end"/>
          </w:r>
        </w:p>
        <w:p w14:paraId="74CD18A1">
          <w:pPr>
            <w:pStyle w:val="30"/>
            <w:tabs>
              <w:tab w:val="left" w:pos="1260"/>
              <w:tab w:val="right" w:leader="dot" w:pos="8296"/>
            </w:tabs>
            <w:ind w:left="560"/>
            <w:rPr>
              <w:rFonts w:hint="eastAsia" w:asciiTheme="minorHAnsi" w:hAnsiTheme="minorHAnsi" w:eastAsiaTheme="minorEastAsia" w:cstheme="minorBidi"/>
              <w:szCs w:val="22"/>
              <w14:ligatures w14:val="standardContextual"/>
            </w:rPr>
          </w:pPr>
          <w:r>
            <w:fldChar w:fldCharType="begin"/>
          </w:r>
          <w:r>
            <w:instrText xml:space="preserve"> HYPERLINK \l "_Toc175233424" </w:instrText>
          </w:r>
          <w:r>
            <w:fldChar w:fldCharType="separate"/>
          </w:r>
          <w:r>
            <w:rPr>
              <w:rStyle w:val="40"/>
              <w:rFonts w:hint="eastAsia" w:cs="Times New Roman"/>
            </w:rPr>
            <w:t>13.8</w:t>
          </w:r>
          <w:r>
            <w:rPr>
              <w:rFonts w:hint="eastAsia" w:asciiTheme="minorHAnsi" w:hAnsiTheme="minorHAnsi" w:eastAsiaTheme="minorEastAsia" w:cstheme="minorBidi"/>
              <w:szCs w:val="22"/>
              <w14:ligatures w14:val="standardContextual"/>
            </w:rPr>
            <w:tab/>
          </w:r>
          <w:r>
            <w:rPr>
              <w:rStyle w:val="40"/>
              <w:rFonts w:hint="eastAsia"/>
            </w:rPr>
            <w:t>专家意见答复单</w:t>
          </w:r>
          <w:r>
            <w:rPr>
              <w:rFonts w:hint="eastAsia"/>
            </w:rPr>
            <w:tab/>
          </w:r>
          <w:r>
            <w:rPr>
              <w:rFonts w:hint="eastAsia"/>
            </w:rPr>
            <w:fldChar w:fldCharType="begin"/>
          </w:r>
          <w:r>
            <w:rPr>
              <w:rFonts w:hint="eastAsia"/>
            </w:rPr>
            <w:instrText xml:space="preserve"> </w:instrText>
          </w:r>
          <w:r>
            <w:instrText xml:space="preserve">PAGEREF _Toc175233424 \h</w:instrText>
          </w:r>
          <w:r>
            <w:rPr>
              <w:rFonts w:hint="eastAsia"/>
            </w:rPr>
            <w:instrText xml:space="preserve"> </w:instrText>
          </w:r>
          <w:r>
            <w:rPr>
              <w:rFonts w:hint="eastAsia"/>
            </w:rPr>
            <w:fldChar w:fldCharType="separate"/>
          </w:r>
          <w:r>
            <w:rPr>
              <w:rFonts w:hint="eastAsia"/>
            </w:rPr>
            <w:t>101</w:t>
          </w:r>
          <w:r>
            <w:rPr>
              <w:rFonts w:hint="eastAsia"/>
            </w:rPr>
            <w:fldChar w:fldCharType="end"/>
          </w:r>
          <w:r>
            <w:rPr>
              <w:rFonts w:hint="eastAsia"/>
            </w:rPr>
            <w:fldChar w:fldCharType="end"/>
          </w:r>
        </w:p>
        <w:p w14:paraId="729048D7">
          <w:r>
            <w:rPr>
              <w:rFonts w:hint="eastAsia" w:ascii="宋体" w:hAnsi="宋体" w:eastAsia="宋体" w:cs="宋体"/>
            </w:rPr>
            <w:fldChar w:fldCharType="end"/>
          </w:r>
        </w:p>
      </w:sdtContent>
    </w:sdt>
    <w:p w14:paraId="2C97839D">
      <w:pPr>
        <w:pStyle w:val="45"/>
        <w:sectPr>
          <w:headerReference r:id="rId6" w:type="default"/>
          <w:footerReference r:id="rId7" w:type="default"/>
          <w:pgSz w:w="11906" w:h="16838"/>
          <w:pgMar w:top="1440" w:right="1800" w:bottom="1440" w:left="1800" w:header="851" w:footer="992" w:gutter="0"/>
          <w:pgNumType w:fmt="upperRoman"/>
          <w:cols w:space="425" w:num="1"/>
          <w:docGrid w:type="lines" w:linePitch="312" w:charSpace="0"/>
        </w:sectPr>
      </w:pPr>
    </w:p>
    <w:p w14:paraId="5F6C3DDC">
      <w:pPr>
        <w:pStyle w:val="2"/>
        <w:spacing w:before="120" w:after="120" w:line="360" w:lineRule="auto"/>
        <w:jc w:val="center"/>
      </w:pPr>
      <w:bookmarkStart w:id="2" w:name="_Toc175233318"/>
      <w:bookmarkStart w:id="3" w:name="_Toc173574200"/>
      <w:bookmarkStart w:id="4" w:name="_Toc153281589"/>
      <w:r>
        <w:rPr>
          <w:rFonts w:hint="eastAsia"/>
        </w:rPr>
        <w:t>项目概况</w:t>
      </w:r>
      <w:bookmarkEnd w:id="2"/>
    </w:p>
    <w:p w14:paraId="568DFDAF">
      <w:pPr>
        <w:pStyle w:val="3"/>
        <w:spacing w:before="0" w:after="0" w:line="360" w:lineRule="auto"/>
        <w:rPr>
          <w:rFonts w:hint="eastAsia" w:ascii="宋体" w:hAnsi="宋体" w:eastAsia="宋体"/>
          <w:sz w:val="28"/>
          <w:szCs w:val="28"/>
        </w:rPr>
      </w:pPr>
      <w:bookmarkStart w:id="5" w:name="_Toc175233319"/>
      <w:r>
        <w:rPr>
          <w:rFonts w:hint="eastAsia" w:ascii="宋体" w:hAnsi="宋体" w:eastAsia="宋体"/>
          <w:sz w:val="28"/>
          <w:szCs w:val="28"/>
        </w:rPr>
        <w:t>项目名称</w:t>
      </w:r>
      <w:bookmarkEnd w:id="5"/>
    </w:p>
    <w:p w14:paraId="2049F778">
      <w:pPr>
        <w:spacing w:line="360" w:lineRule="auto"/>
        <w:ind w:firstLine="480" w:firstLineChars="200"/>
        <w:rPr>
          <w:rFonts w:hint="eastAsia" w:ascii="宋体" w:hAnsi="宋体" w:eastAsia="宋体"/>
          <w:sz w:val="24"/>
        </w:rPr>
      </w:pPr>
      <w:r>
        <w:rPr>
          <w:rFonts w:hint="eastAsia" w:ascii="宋体" w:hAnsi="宋体" w:eastAsia="宋体"/>
          <w:sz w:val="24"/>
        </w:rPr>
        <w:t>项目名称：西宁市湟中区农村人畜饮水净化配套工程建设项目</w:t>
      </w:r>
    </w:p>
    <w:p w14:paraId="50A788B7">
      <w:pPr>
        <w:pStyle w:val="3"/>
        <w:spacing w:before="0" w:after="0" w:line="360" w:lineRule="auto"/>
        <w:rPr>
          <w:rFonts w:hint="eastAsia" w:ascii="宋体" w:hAnsi="宋体" w:eastAsia="宋体"/>
          <w:sz w:val="28"/>
          <w:szCs w:val="28"/>
        </w:rPr>
      </w:pPr>
      <w:bookmarkStart w:id="6" w:name="_Toc175233320"/>
      <w:r>
        <w:rPr>
          <w:rFonts w:hint="eastAsia" w:ascii="宋体" w:hAnsi="宋体" w:eastAsia="宋体"/>
          <w:sz w:val="28"/>
          <w:szCs w:val="28"/>
        </w:rPr>
        <w:t>项目单位</w:t>
      </w:r>
      <w:bookmarkEnd w:id="6"/>
    </w:p>
    <w:p w14:paraId="4634B151">
      <w:pPr>
        <w:spacing w:line="360" w:lineRule="auto"/>
        <w:ind w:firstLine="480" w:firstLineChars="200"/>
        <w:rPr>
          <w:rFonts w:hint="eastAsia" w:ascii="宋体" w:hAnsi="宋体" w:eastAsia="宋体"/>
          <w:sz w:val="24"/>
        </w:rPr>
      </w:pPr>
      <w:r>
        <w:rPr>
          <w:rFonts w:hint="eastAsia" w:ascii="宋体" w:hAnsi="宋体" w:eastAsia="宋体"/>
          <w:sz w:val="24"/>
        </w:rPr>
        <w:t>项目监管单位：西宁市湟中区农业农村局</w:t>
      </w:r>
    </w:p>
    <w:p w14:paraId="6E834C49">
      <w:pPr>
        <w:spacing w:line="360" w:lineRule="auto"/>
        <w:ind w:firstLine="480" w:firstLineChars="200"/>
        <w:rPr>
          <w:rFonts w:hint="eastAsia" w:ascii="宋体" w:hAnsi="宋体" w:eastAsia="宋体"/>
          <w:sz w:val="24"/>
        </w:rPr>
      </w:pPr>
      <w:r>
        <w:rPr>
          <w:rFonts w:hint="eastAsia" w:ascii="宋体" w:hAnsi="宋体" w:eastAsia="宋体"/>
          <w:sz w:val="24"/>
        </w:rPr>
        <w:t>项目责任单位：西宁市湟中区水利局</w:t>
      </w:r>
    </w:p>
    <w:p w14:paraId="3E1280E2">
      <w:pPr>
        <w:spacing w:line="360" w:lineRule="auto"/>
        <w:ind w:firstLine="480" w:firstLineChars="200"/>
        <w:rPr>
          <w:rFonts w:hint="eastAsia" w:ascii="宋体" w:hAnsi="宋体" w:eastAsia="宋体"/>
          <w:sz w:val="24"/>
        </w:rPr>
      </w:pPr>
      <w:r>
        <w:rPr>
          <w:rFonts w:hint="eastAsia" w:ascii="宋体" w:hAnsi="宋体" w:eastAsia="宋体"/>
          <w:sz w:val="24"/>
        </w:rPr>
        <w:t>项目建设单位：西宁市湟中区水利建设管理中心</w:t>
      </w:r>
    </w:p>
    <w:p w14:paraId="66E73B63">
      <w:pPr>
        <w:spacing w:line="360" w:lineRule="auto"/>
        <w:ind w:firstLine="480" w:firstLineChars="200"/>
        <w:rPr>
          <w:rFonts w:hint="eastAsia" w:ascii="宋体" w:hAnsi="宋体" w:eastAsia="宋体"/>
          <w:sz w:val="24"/>
        </w:rPr>
      </w:pPr>
      <w:r>
        <w:rPr>
          <w:rFonts w:hint="eastAsia" w:ascii="宋体" w:hAnsi="宋体" w:eastAsia="宋体"/>
          <w:sz w:val="24"/>
        </w:rPr>
        <w:t>项目设计单位：北京易柯森特科技有限公司</w:t>
      </w:r>
    </w:p>
    <w:p w14:paraId="4FDE2446">
      <w:pPr>
        <w:pStyle w:val="3"/>
        <w:spacing w:before="0" w:after="0" w:line="360" w:lineRule="auto"/>
        <w:rPr>
          <w:rFonts w:hint="eastAsia" w:ascii="宋体" w:hAnsi="宋体" w:eastAsia="宋体"/>
          <w:sz w:val="28"/>
          <w:szCs w:val="28"/>
        </w:rPr>
      </w:pPr>
      <w:bookmarkStart w:id="7" w:name="_Toc175233321"/>
      <w:r>
        <w:rPr>
          <w:rFonts w:hint="eastAsia" w:ascii="宋体" w:hAnsi="宋体" w:eastAsia="宋体"/>
          <w:sz w:val="28"/>
          <w:szCs w:val="28"/>
        </w:rPr>
        <w:t>设计依据</w:t>
      </w:r>
      <w:bookmarkEnd w:id="7"/>
    </w:p>
    <w:p w14:paraId="18226D12">
      <w:pPr>
        <w:spacing w:line="360" w:lineRule="auto"/>
        <w:ind w:firstLine="480" w:firstLineChars="200"/>
        <w:rPr>
          <w:rFonts w:hint="eastAsia" w:ascii="宋体" w:hAnsi="宋体" w:eastAsia="宋体"/>
          <w:sz w:val="24"/>
        </w:rPr>
      </w:pPr>
      <w:r>
        <w:rPr>
          <w:rFonts w:hint="eastAsia" w:ascii="宋体" w:hAnsi="宋体" w:eastAsia="宋体"/>
          <w:sz w:val="24"/>
        </w:rPr>
        <w:t>有关文件：</w:t>
      </w:r>
    </w:p>
    <w:p w14:paraId="7BBF04A2">
      <w:pPr>
        <w:pStyle w:val="44"/>
        <w:numPr>
          <w:ilvl w:val="0"/>
          <w:numId w:val="6"/>
        </w:numPr>
        <w:spacing w:line="360" w:lineRule="auto"/>
        <w:ind w:left="0" w:firstLine="480"/>
        <w:rPr>
          <w:rFonts w:hint="eastAsia" w:ascii="宋体" w:hAnsi="宋体" w:eastAsia="宋体"/>
          <w:sz w:val="24"/>
        </w:rPr>
      </w:pPr>
      <w:r>
        <w:rPr>
          <w:rFonts w:hint="eastAsia" w:ascii="宋体" w:hAnsi="宋体" w:eastAsia="宋体"/>
          <w:sz w:val="24"/>
        </w:rPr>
        <w:t>《“十四五”生态环境监测规划》</w:t>
      </w:r>
    </w:p>
    <w:p w14:paraId="6A21A46C">
      <w:pPr>
        <w:pStyle w:val="44"/>
        <w:numPr>
          <w:ilvl w:val="0"/>
          <w:numId w:val="6"/>
        </w:numPr>
        <w:spacing w:line="360" w:lineRule="auto"/>
        <w:ind w:left="0" w:firstLine="480"/>
        <w:rPr>
          <w:rFonts w:ascii="宋体" w:eastAsia="宋体" w:cs="宋体"/>
          <w:kern w:val="0"/>
          <w:sz w:val="24"/>
        </w:rPr>
      </w:pPr>
      <w:r>
        <w:rPr>
          <w:rFonts w:hint="eastAsia" w:ascii="宋体" w:eastAsia="宋体" w:cs="宋体"/>
          <w:kern w:val="0"/>
          <w:sz w:val="24"/>
        </w:rPr>
        <w:t>《水利部关于推进农村供水工程规范化建设的指导意见》（水农【</w:t>
      </w:r>
      <w:r>
        <w:rPr>
          <w:rFonts w:ascii="宋体" w:eastAsia="宋体" w:cs="宋体"/>
          <w:kern w:val="0"/>
          <w:sz w:val="24"/>
        </w:rPr>
        <w:t>2019</w:t>
      </w:r>
      <w:r>
        <w:rPr>
          <w:rFonts w:hint="eastAsia" w:ascii="宋体" w:eastAsia="宋体" w:cs="宋体"/>
          <w:kern w:val="0"/>
          <w:sz w:val="24"/>
        </w:rPr>
        <w:t>】</w:t>
      </w:r>
      <w:r>
        <w:rPr>
          <w:rFonts w:ascii="宋体" w:eastAsia="宋体" w:cs="宋体"/>
          <w:kern w:val="0"/>
          <w:sz w:val="24"/>
        </w:rPr>
        <w:t>150</w:t>
      </w:r>
      <w:r>
        <w:rPr>
          <w:rFonts w:hint="eastAsia" w:ascii="宋体" w:eastAsia="宋体" w:cs="宋体"/>
          <w:kern w:val="0"/>
          <w:sz w:val="24"/>
        </w:rPr>
        <w:t>号）</w:t>
      </w:r>
    </w:p>
    <w:p w14:paraId="27ADC0E4">
      <w:pPr>
        <w:pStyle w:val="44"/>
        <w:numPr>
          <w:ilvl w:val="0"/>
          <w:numId w:val="6"/>
        </w:numPr>
        <w:spacing w:line="360" w:lineRule="auto"/>
        <w:ind w:left="0" w:firstLine="480"/>
        <w:rPr>
          <w:rFonts w:ascii="宋体" w:eastAsia="宋体" w:cs="宋体"/>
          <w:kern w:val="0"/>
          <w:sz w:val="24"/>
        </w:rPr>
      </w:pPr>
      <w:r>
        <w:rPr>
          <w:rFonts w:hint="eastAsia" w:ascii="宋体" w:eastAsia="宋体" w:cs="宋体"/>
          <w:kern w:val="0"/>
          <w:sz w:val="24"/>
        </w:rPr>
        <w:t>《湟中区“十四五”农村供水保障规划》</w:t>
      </w:r>
    </w:p>
    <w:p w14:paraId="4FCDB5C1">
      <w:pPr>
        <w:pStyle w:val="44"/>
        <w:numPr>
          <w:ilvl w:val="0"/>
          <w:numId w:val="6"/>
        </w:numPr>
        <w:spacing w:line="360" w:lineRule="auto"/>
        <w:ind w:left="0" w:firstLine="480"/>
        <w:rPr>
          <w:rFonts w:ascii="宋体" w:eastAsia="宋体" w:cs="宋体"/>
          <w:kern w:val="0"/>
          <w:sz w:val="24"/>
        </w:rPr>
      </w:pPr>
      <w:r>
        <w:rPr>
          <w:rFonts w:hint="eastAsia" w:ascii="宋体" w:eastAsia="宋体" w:cs="宋体"/>
          <w:kern w:val="0"/>
          <w:sz w:val="24"/>
        </w:rPr>
        <w:t>《苏青东西部协作项目资金管理办法》（青乡政局【2023】95号）</w:t>
      </w:r>
    </w:p>
    <w:p w14:paraId="21C29F88">
      <w:pPr>
        <w:pStyle w:val="44"/>
        <w:numPr>
          <w:ilvl w:val="0"/>
          <w:numId w:val="6"/>
        </w:numPr>
        <w:spacing w:line="360" w:lineRule="auto"/>
        <w:ind w:left="0" w:firstLine="480"/>
        <w:rPr>
          <w:rFonts w:ascii="宋体" w:eastAsia="宋体" w:cs="宋体"/>
          <w:kern w:val="0"/>
          <w:sz w:val="24"/>
        </w:rPr>
      </w:pPr>
      <w:r>
        <w:rPr>
          <w:rFonts w:hint="eastAsia" w:ascii="宋体" w:eastAsia="宋体" w:cs="宋体"/>
          <w:kern w:val="0"/>
          <w:sz w:val="24"/>
        </w:rPr>
        <w:t>《青海省水利工程设计概（估）算编制规定》（青海省水利厅【2015】512号）</w:t>
      </w:r>
    </w:p>
    <w:p w14:paraId="426EE5E5">
      <w:pPr>
        <w:pStyle w:val="44"/>
        <w:numPr>
          <w:ilvl w:val="0"/>
          <w:numId w:val="6"/>
        </w:numPr>
        <w:spacing w:line="360" w:lineRule="auto"/>
        <w:ind w:left="0" w:firstLine="480"/>
        <w:rPr>
          <w:rFonts w:ascii="宋体" w:eastAsia="宋体" w:cs="宋体"/>
          <w:kern w:val="0"/>
          <w:sz w:val="24"/>
        </w:rPr>
      </w:pPr>
      <w:r>
        <w:rPr>
          <w:rFonts w:hint="eastAsia" w:ascii="宋体" w:eastAsia="宋体" w:cs="宋体"/>
          <w:kern w:val="0"/>
          <w:sz w:val="24"/>
        </w:rPr>
        <w:t>《关于调整青海省水利水电工程营业税改征增值税计价依据的通知》（青水建【2016】179号）</w:t>
      </w:r>
    </w:p>
    <w:p w14:paraId="33765297">
      <w:pPr>
        <w:pStyle w:val="44"/>
        <w:numPr>
          <w:ilvl w:val="0"/>
          <w:numId w:val="6"/>
        </w:numPr>
        <w:spacing w:line="360" w:lineRule="auto"/>
        <w:ind w:left="0" w:firstLine="480"/>
        <w:rPr>
          <w:rFonts w:ascii="宋体" w:eastAsia="宋体" w:cs="宋体"/>
          <w:kern w:val="0"/>
          <w:sz w:val="24"/>
        </w:rPr>
      </w:pPr>
      <w:r>
        <w:rPr>
          <w:rFonts w:hint="eastAsia" w:ascii="宋体" w:eastAsia="宋体" w:cs="宋体"/>
          <w:kern w:val="0"/>
          <w:sz w:val="24"/>
        </w:rPr>
        <w:t>《水利部办公厅关于调整水利工程计价依据增值税计算标准的通知》（办财税函【2019】448号）</w:t>
      </w:r>
    </w:p>
    <w:p w14:paraId="5D4B40DF">
      <w:pPr>
        <w:pStyle w:val="44"/>
        <w:numPr>
          <w:ilvl w:val="0"/>
          <w:numId w:val="6"/>
        </w:numPr>
        <w:spacing w:line="360" w:lineRule="auto"/>
        <w:ind w:left="0" w:firstLine="480"/>
        <w:rPr>
          <w:rFonts w:ascii="宋体" w:eastAsia="宋体" w:cs="宋体"/>
          <w:kern w:val="0"/>
          <w:sz w:val="24"/>
        </w:rPr>
      </w:pPr>
      <w:r>
        <w:rPr>
          <w:rFonts w:hint="eastAsia" w:ascii="宋体" w:eastAsia="宋体" w:cs="宋体"/>
          <w:kern w:val="0"/>
          <w:sz w:val="24"/>
        </w:rPr>
        <w:t>《关于调整水利工程计价依据安全生产措施费计算标准的通知》（青水建函【2023】53号）</w:t>
      </w:r>
    </w:p>
    <w:p w14:paraId="2B0498EF">
      <w:pPr>
        <w:pStyle w:val="44"/>
        <w:numPr>
          <w:ilvl w:val="0"/>
          <w:numId w:val="6"/>
        </w:numPr>
        <w:spacing w:line="360" w:lineRule="auto"/>
        <w:ind w:left="0" w:firstLine="480"/>
        <w:rPr>
          <w:rFonts w:ascii="宋体" w:eastAsia="宋体" w:cs="宋体"/>
          <w:kern w:val="0"/>
          <w:sz w:val="24"/>
        </w:rPr>
      </w:pPr>
      <w:r>
        <w:rPr>
          <w:rFonts w:hint="eastAsia" w:ascii="宋体" w:eastAsia="宋体" w:cs="宋体"/>
          <w:kern w:val="0"/>
          <w:sz w:val="24"/>
        </w:rPr>
        <w:t>《青海省水利水电建筑工程预算定额》（青海省水利厅【2009】875号）</w:t>
      </w:r>
    </w:p>
    <w:p w14:paraId="6A6BCE35">
      <w:pPr>
        <w:spacing w:line="360" w:lineRule="auto"/>
        <w:ind w:firstLine="480" w:firstLineChars="200"/>
        <w:rPr>
          <w:rFonts w:ascii="宋体" w:hAnsi="Times New Roman" w:eastAsia="宋体" w:cs="宋体"/>
          <w:kern w:val="0"/>
          <w:sz w:val="24"/>
        </w:rPr>
      </w:pPr>
      <w:r>
        <w:rPr>
          <w:rFonts w:hint="eastAsia" w:ascii="宋体" w:hAnsi="Times New Roman" w:eastAsia="宋体" w:cs="宋体"/>
          <w:kern w:val="0"/>
          <w:sz w:val="24"/>
        </w:rPr>
        <w:t>适用标准：</w:t>
      </w:r>
    </w:p>
    <w:p w14:paraId="44D2A8BC">
      <w:pPr>
        <w:pStyle w:val="44"/>
        <w:numPr>
          <w:ilvl w:val="0"/>
          <w:numId w:val="7"/>
        </w:numPr>
        <w:spacing w:line="360" w:lineRule="auto"/>
        <w:ind w:left="0" w:firstLine="480"/>
        <w:rPr>
          <w:rFonts w:ascii="宋体" w:eastAsia="宋体" w:cs="宋体"/>
          <w:kern w:val="0"/>
          <w:sz w:val="24"/>
        </w:rPr>
      </w:pPr>
      <w:r>
        <w:rPr>
          <w:rFonts w:hint="eastAsia" w:ascii="宋体" w:eastAsia="宋体" w:cs="宋体"/>
          <w:kern w:val="0"/>
          <w:sz w:val="24"/>
        </w:rPr>
        <w:t>《村镇供水工程技术规范》（SL310-2019）</w:t>
      </w:r>
    </w:p>
    <w:p w14:paraId="60A01A33">
      <w:pPr>
        <w:pStyle w:val="44"/>
        <w:numPr>
          <w:ilvl w:val="0"/>
          <w:numId w:val="7"/>
        </w:numPr>
        <w:spacing w:line="360" w:lineRule="auto"/>
        <w:ind w:left="0" w:firstLine="480"/>
        <w:rPr>
          <w:rFonts w:ascii="宋体" w:eastAsia="宋体" w:cs="宋体"/>
          <w:kern w:val="0"/>
          <w:sz w:val="24"/>
        </w:rPr>
      </w:pPr>
      <w:r>
        <w:rPr>
          <w:rFonts w:hint="eastAsia" w:ascii="宋体" w:eastAsia="宋体" w:cs="宋体"/>
          <w:kern w:val="0"/>
          <w:sz w:val="24"/>
        </w:rPr>
        <w:t>《生活饮用水卫生标准》（GB5749-2022）</w:t>
      </w:r>
    </w:p>
    <w:p w14:paraId="7919F190">
      <w:pPr>
        <w:pStyle w:val="44"/>
        <w:numPr>
          <w:ilvl w:val="0"/>
          <w:numId w:val="7"/>
        </w:numPr>
        <w:spacing w:line="360" w:lineRule="auto"/>
        <w:ind w:left="0" w:firstLine="480"/>
        <w:rPr>
          <w:rFonts w:ascii="宋体" w:eastAsia="宋体" w:cs="宋体"/>
          <w:kern w:val="0"/>
          <w:sz w:val="24"/>
        </w:rPr>
      </w:pPr>
      <w:r>
        <w:rPr>
          <w:rFonts w:hint="eastAsia" w:ascii="宋体" w:eastAsia="宋体" w:cs="宋体"/>
          <w:kern w:val="0"/>
          <w:sz w:val="24"/>
        </w:rPr>
        <w:t>《地下水质量标准》（GB/T14848-2017）</w:t>
      </w:r>
    </w:p>
    <w:p w14:paraId="735515C0">
      <w:pPr>
        <w:pStyle w:val="44"/>
        <w:numPr>
          <w:ilvl w:val="0"/>
          <w:numId w:val="7"/>
        </w:numPr>
        <w:spacing w:line="360" w:lineRule="auto"/>
        <w:ind w:left="0" w:firstLine="480"/>
        <w:rPr>
          <w:rFonts w:ascii="宋体" w:eastAsia="宋体" w:cs="宋体"/>
          <w:kern w:val="0"/>
          <w:sz w:val="24"/>
        </w:rPr>
      </w:pPr>
      <w:r>
        <w:rPr>
          <w:rFonts w:hint="eastAsia" w:ascii="宋体" w:eastAsia="宋体" w:cs="宋体"/>
          <w:kern w:val="0"/>
          <w:sz w:val="24"/>
        </w:rPr>
        <w:t>《地表水环境质量标准》（GB3838-2002）</w:t>
      </w:r>
    </w:p>
    <w:p w14:paraId="22304B15">
      <w:pPr>
        <w:pStyle w:val="44"/>
        <w:numPr>
          <w:ilvl w:val="0"/>
          <w:numId w:val="7"/>
        </w:numPr>
        <w:spacing w:line="360" w:lineRule="auto"/>
        <w:ind w:left="0" w:firstLine="480"/>
        <w:rPr>
          <w:rFonts w:ascii="宋体" w:eastAsia="宋体" w:cs="宋体"/>
          <w:kern w:val="0"/>
          <w:sz w:val="24"/>
        </w:rPr>
      </w:pPr>
      <w:r>
        <w:rPr>
          <w:rFonts w:hint="eastAsia" w:ascii="宋体" w:eastAsia="宋体" w:cs="宋体"/>
          <w:kern w:val="0"/>
          <w:sz w:val="24"/>
        </w:rPr>
        <w:t>《生活饮用水水源水质标准》（CJ3020-2022）</w:t>
      </w:r>
    </w:p>
    <w:p w14:paraId="31BD207F">
      <w:pPr>
        <w:pStyle w:val="44"/>
        <w:numPr>
          <w:ilvl w:val="0"/>
          <w:numId w:val="7"/>
        </w:numPr>
        <w:spacing w:line="360" w:lineRule="auto"/>
        <w:ind w:left="0" w:firstLine="480"/>
        <w:rPr>
          <w:rFonts w:ascii="宋体" w:eastAsia="宋体" w:cs="宋体"/>
          <w:kern w:val="0"/>
          <w:sz w:val="24"/>
        </w:rPr>
      </w:pPr>
      <w:r>
        <w:rPr>
          <w:rFonts w:hint="eastAsia" w:ascii="宋体" w:eastAsia="宋体" w:cs="宋体"/>
          <w:kern w:val="0"/>
          <w:sz w:val="24"/>
        </w:rPr>
        <w:t>《农村供水工程技术要点》</w:t>
      </w:r>
    </w:p>
    <w:p w14:paraId="3F9486FF">
      <w:pPr>
        <w:pStyle w:val="3"/>
        <w:spacing w:before="0" w:after="0" w:line="360" w:lineRule="auto"/>
        <w:rPr>
          <w:rFonts w:hint="eastAsia" w:ascii="宋体" w:hAnsi="宋体" w:eastAsia="宋体"/>
          <w:sz w:val="28"/>
          <w:szCs w:val="28"/>
        </w:rPr>
      </w:pPr>
      <w:bookmarkStart w:id="8" w:name="_Toc175233322"/>
      <w:r>
        <w:rPr>
          <w:rFonts w:hint="eastAsia" w:ascii="宋体" w:hAnsi="宋体" w:eastAsia="宋体"/>
          <w:sz w:val="28"/>
          <w:szCs w:val="28"/>
        </w:rPr>
        <w:t>项目建设目标</w:t>
      </w:r>
      <w:bookmarkEnd w:id="8"/>
    </w:p>
    <w:p w14:paraId="400BBCD4">
      <w:pPr>
        <w:spacing w:line="360" w:lineRule="auto"/>
        <w:ind w:firstLine="480" w:firstLineChars="200"/>
        <w:rPr>
          <w:rFonts w:hint="eastAsia" w:ascii="宋体" w:hAnsi="宋体" w:eastAsia="宋体"/>
          <w:sz w:val="24"/>
        </w:rPr>
      </w:pPr>
      <w:r>
        <w:rPr>
          <w:rFonts w:hint="eastAsia" w:ascii="宋体" w:hAnsi="宋体" w:eastAsia="宋体"/>
          <w:sz w:val="24"/>
        </w:rPr>
        <w:t>本项目</w:t>
      </w:r>
      <w:r>
        <w:rPr>
          <w:rFonts w:hint="eastAsia" w:ascii="宋体" w:hAnsi="宋体" w:eastAsia="宋体" w:cs="仿宋"/>
          <w:sz w:val="24"/>
        </w:rPr>
        <w:t>在多巴拉沙片人畜饮水工程水源地安装不锈钢过滤器以提升水质，</w:t>
      </w:r>
      <w:r>
        <w:rPr>
          <w:rFonts w:hint="eastAsia" w:ascii="宋体" w:hAnsi="宋体" w:eastAsia="宋体"/>
          <w:sz w:val="24"/>
        </w:rPr>
        <w:t>在14个水源地安装水质监测设备，在水源地关键点位安装视频监控联动报警系统，从而达到保证供水工程和水源地的稳定运行和辖区居民的用水安全的目标。</w:t>
      </w:r>
    </w:p>
    <w:p w14:paraId="1D57E2D7">
      <w:pPr>
        <w:pStyle w:val="3"/>
        <w:spacing w:before="0" w:after="0" w:line="360" w:lineRule="auto"/>
        <w:rPr>
          <w:rFonts w:hint="eastAsia" w:ascii="宋体" w:hAnsi="宋体" w:eastAsia="宋体"/>
          <w:sz w:val="28"/>
          <w:szCs w:val="28"/>
        </w:rPr>
      </w:pPr>
      <w:bookmarkStart w:id="9" w:name="_Toc175233323"/>
      <w:r>
        <w:rPr>
          <w:rFonts w:hint="eastAsia" w:ascii="宋体" w:hAnsi="宋体" w:eastAsia="宋体"/>
          <w:sz w:val="28"/>
          <w:szCs w:val="28"/>
        </w:rPr>
        <w:t>项目建设内容</w:t>
      </w:r>
      <w:bookmarkEnd w:id="9"/>
    </w:p>
    <w:p w14:paraId="4FA61311">
      <w:pPr>
        <w:spacing w:line="360" w:lineRule="auto"/>
        <w:ind w:firstLine="480" w:firstLineChars="200"/>
        <w:rPr>
          <w:rFonts w:hint="eastAsia" w:ascii="宋体" w:hAnsi="宋体" w:eastAsia="宋体"/>
          <w:sz w:val="24"/>
        </w:rPr>
      </w:pPr>
      <w:r>
        <w:rPr>
          <w:rFonts w:hint="eastAsia" w:ascii="宋体" w:hAnsi="宋体" w:eastAsia="宋体"/>
          <w:sz w:val="24"/>
        </w:rPr>
        <w:t>该工程任务为了保证供水工程的稳定运行和辖区居民的用水安全，在水源地安装水质监测设备。</w:t>
      </w:r>
    </w:p>
    <w:p w14:paraId="31365F86">
      <w:pPr>
        <w:spacing w:line="360" w:lineRule="auto"/>
        <w:ind w:firstLine="480" w:firstLineChars="200"/>
        <w:rPr>
          <w:rFonts w:hint="eastAsia" w:ascii="宋体" w:hAnsi="宋体" w:eastAsia="宋体"/>
          <w:sz w:val="24"/>
        </w:rPr>
      </w:pPr>
      <w:r>
        <w:rPr>
          <w:rFonts w:hint="eastAsia" w:ascii="宋体" w:hAnsi="宋体" w:eastAsia="宋体"/>
          <w:sz w:val="24"/>
        </w:rPr>
        <w:t>1、水源地水质净化设施：在多巴拉沙片人畜饮水工程水源地安装不锈钢过滤器1台。</w:t>
      </w:r>
    </w:p>
    <w:p w14:paraId="0DFB642F">
      <w:pPr>
        <w:spacing w:line="360" w:lineRule="auto"/>
        <w:ind w:firstLine="480" w:firstLineChars="200"/>
        <w:rPr>
          <w:rFonts w:hint="eastAsia" w:ascii="宋体" w:hAnsi="宋体" w:eastAsia="宋体"/>
          <w:sz w:val="24"/>
        </w:rPr>
      </w:pPr>
      <w:r>
        <w:rPr>
          <w:rFonts w:hint="eastAsia" w:ascii="宋体" w:hAnsi="宋体" w:eastAsia="宋体"/>
          <w:sz w:val="24"/>
        </w:rPr>
        <w:t>2、水源地水质监测：在14个水源地安装14套水质监测设备、29套视频监控摄像头和14台视频联动报警装置。</w:t>
      </w:r>
    </w:p>
    <w:p w14:paraId="003F2403">
      <w:pPr>
        <w:pStyle w:val="3"/>
        <w:spacing w:before="0" w:after="0" w:line="360" w:lineRule="auto"/>
        <w:rPr>
          <w:rFonts w:hint="eastAsia" w:ascii="宋体" w:hAnsi="宋体" w:eastAsia="宋体"/>
          <w:sz w:val="28"/>
          <w:szCs w:val="28"/>
        </w:rPr>
      </w:pPr>
      <w:bookmarkStart w:id="10" w:name="_Toc175233324"/>
      <w:r>
        <w:rPr>
          <w:rFonts w:hint="eastAsia" w:ascii="宋体" w:hAnsi="宋体" w:eastAsia="宋体"/>
          <w:sz w:val="28"/>
          <w:szCs w:val="28"/>
        </w:rPr>
        <w:t>项目建设期限与实施地点</w:t>
      </w:r>
      <w:bookmarkEnd w:id="10"/>
    </w:p>
    <w:p w14:paraId="11553EC4">
      <w:pPr>
        <w:spacing w:line="360" w:lineRule="auto"/>
        <w:ind w:firstLine="480" w:firstLineChars="200"/>
        <w:rPr>
          <w:rFonts w:hint="eastAsia" w:ascii="宋体" w:hAnsi="宋体" w:eastAsia="宋体"/>
          <w:sz w:val="24"/>
        </w:rPr>
      </w:pPr>
      <w:r>
        <w:rPr>
          <w:rFonts w:hint="eastAsia" w:ascii="宋体" w:hAnsi="宋体" w:eastAsia="宋体"/>
          <w:sz w:val="24"/>
        </w:rPr>
        <w:t>项目建设期限：2024年8月至2024年10月</w:t>
      </w:r>
    </w:p>
    <w:p w14:paraId="0E55971C">
      <w:pPr>
        <w:spacing w:line="360" w:lineRule="auto"/>
        <w:ind w:firstLine="480" w:firstLineChars="200"/>
        <w:rPr>
          <w:rFonts w:hint="eastAsia" w:ascii="宋体" w:hAnsi="宋体" w:eastAsia="宋体"/>
          <w:sz w:val="24"/>
        </w:rPr>
      </w:pPr>
      <w:r>
        <w:rPr>
          <w:rFonts w:hint="eastAsia" w:ascii="宋体" w:hAnsi="宋体" w:eastAsia="宋体"/>
          <w:sz w:val="24"/>
        </w:rPr>
        <w:t>项目实施地点：西宁市湟中区</w:t>
      </w:r>
    </w:p>
    <w:p w14:paraId="0492CDF8">
      <w:pPr>
        <w:pStyle w:val="3"/>
        <w:spacing w:before="0" w:after="0" w:line="360" w:lineRule="auto"/>
        <w:rPr>
          <w:rFonts w:hint="eastAsia" w:ascii="宋体" w:hAnsi="宋体" w:eastAsia="宋体"/>
          <w:sz w:val="28"/>
          <w:szCs w:val="28"/>
        </w:rPr>
      </w:pPr>
      <w:bookmarkStart w:id="11" w:name="_Toc175233325"/>
      <w:r>
        <w:rPr>
          <w:rFonts w:hint="eastAsia" w:ascii="宋体" w:hAnsi="宋体" w:eastAsia="宋体"/>
          <w:sz w:val="28"/>
          <w:szCs w:val="28"/>
        </w:rPr>
        <w:t>项目资金筹措</w:t>
      </w:r>
      <w:bookmarkEnd w:id="11"/>
    </w:p>
    <w:p w14:paraId="0EF462FE">
      <w:pPr>
        <w:spacing w:line="360" w:lineRule="auto"/>
        <w:ind w:firstLine="480" w:firstLineChars="200"/>
        <w:rPr>
          <w:rFonts w:hint="eastAsia" w:ascii="宋体" w:hAnsi="宋体" w:eastAsia="宋体"/>
          <w:sz w:val="24"/>
        </w:rPr>
      </w:pPr>
      <w:r>
        <w:rPr>
          <w:rFonts w:hint="eastAsia" w:ascii="宋体" w:hAnsi="宋体" w:eastAsia="宋体"/>
          <w:sz w:val="24"/>
        </w:rPr>
        <w:t>项目总投资：200万元，详见附件《西宁市湟中区农村人畜饮水净化配套工程建设项目概算表》</w:t>
      </w:r>
    </w:p>
    <w:p w14:paraId="50866346">
      <w:pPr>
        <w:spacing w:line="360" w:lineRule="auto"/>
        <w:ind w:firstLine="480" w:firstLineChars="200"/>
        <w:rPr>
          <w:rFonts w:hint="eastAsia" w:ascii="宋体" w:hAnsi="宋体" w:eastAsia="宋体"/>
          <w:sz w:val="24"/>
        </w:rPr>
      </w:pPr>
      <w:r>
        <w:rPr>
          <w:rFonts w:hint="eastAsia" w:ascii="宋体" w:hAnsi="宋体" w:eastAsia="宋体"/>
          <w:sz w:val="24"/>
        </w:rPr>
        <w:t>资金来源为2024年度东西部协作资金。</w:t>
      </w:r>
    </w:p>
    <w:p w14:paraId="4E9B5EE2">
      <w:pPr>
        <w:pStyle w:val="3"/>
        <w:spacing w:before="0" w:after="0" w:line="360" w:lineRule="auto"/>
        <w:rPr>
          <w:rFonts w:hint="eastAsia" w:ascii="宋体" w:hAnsi="宋体" w:eastAsia="宋体"/>
          <w:sz w:val="28"/>
          <w:szCs w:val="28"/>
        </w:rPr>
      </w:pPr>
      <w:bookmarkStart w:id="12" w:name="_Toc175233326"/>
      <w:r>
        <w:rPr>
          <w:rFonts w:hint="eastAsia" w:ascii="宋体" w:hAnsi="宋体" w:eastAsia="宋体"/>
          <w:sz w:val="28"/>
          <w:szCs w:val="28"/>
        </w:rPr>
        <w:t>项目实施效益</w:t>
      </w:r>
      <w:bookmarkEnd w:id="12"/>
    </w:p>
    <w:p w14:paraId="3993EA14">
      <w:pPr>
        <w:spacing w:line="360" w:lineRule="auto"/>
        <w:ind w:firstLine="480" w:firstLineChars="200"/>
        <w:rPr>
          <w:rFonts w:hint="eastAsia" w:ascii="宋体" w:hAnsi="宋体" w:eastAsia="宋体"/>
          <w:sz w:val="24"/>
        </w:rPr>
      </w:pPr>
      <w:r>
        <w:rPr>
          <w:rFonts w:hint="eastAsia" w:ascii="宋体" w:hAnsi="宋体" w:eastAsia="宋体"/>
          <w:sz w:val="24"/>
        </w:rPr>
        <w:t>该项目实施后，在多巴拉沙片人畜饮水工程水源地安装1台不锈钢水质净化过滤器以提升该工程水质，受益人口8580人，在辖区14处水源地建设4G水质监测系统，对水质浑浊度提前监测预警监测，使各水源地水质得到有效监测，从而保证供水工程的稳定运行和辖区居民的用水安全。</w:t>
      </w:r>
    </w:p>
    <w:p w14:paraId="7A87E345">
      <w:pPr>
        <w:pStyle w:val="3"/>
        <w:spacing w:before="0" w:after="0" w:line="360" w:lineRule="auto"/>
        <w:rPr>
          <w:rFonts w:hint="eastAsia" w:ascii="宋体" w:hAnsi="宋体" w:eastAsia="宋体"/>
          <w:sz w:val="28"/>
          <w:szCs w:val="28"/>
        </w:rPr>
      </w:pPr>
      <w:bookmarkStart w:id="13" w:name="_Toc175233327"/>
      <w:r>
        <w:rPr>
          <w:rFonts w:hint="eastAsia" w:ascii="宋体" w:hAnsi="宋体" w:eastAsia="宋体"/>
          <w:sz w:val="28"/>
          <w:szCs w:val="28"/>
        </w:rPr>
        <w:t>资产权属</w:t>
      </w:r>
      <w:bookmarkEnd w:id="13"/>
    </w:p>
    <w:p w14:paraId="4A26BE62">
      <w:pPr>
        <w:spacing w:line="360" w:lineRule="auto"/>
        <w:ind w:firstLine="480" w:firstLineChars="200"/>
        <w:rPr>
          <w:rFonts w:hint="eastAsia" w:ascii="宋体" w:hAnsi="宋体" w:eastAsia="宋体"/>
          <w:sz w:val="24"/>
        </w:rPr>
      </w:pPr>
      <w:r>
        <w:rPr>
          <w:rFonts w:hint="eastAsia" w:ascii="宋体" w:hAnsi="宋体" w:eastAsia="宋体"/>
          <w:sz w:val="24"/>
        </w:rPr>
        <w:t>项目建成后资产权属及运行管理移交水利局各辖区水管单位，湟中区水利建设管理中心应及时办理移交手续，按照行业相关要求进行确权和管理。</w:t>
      </w:r>
    </w:p>
    <w:p w14:paraId="4B629A3B">
      <w:pPr>
        <w:pStyle w:val="3"/>
        <w:spacing w:before="0" w:after="0" w:line="360" w:lineRule="auto"/>
        <w:rPr>
          <w:rFonts w:hint="eastAsia" w:ascii="宋体" w:hAnsi="宋体" w:eastAsia="宋体"/>
          <w:sz w:val="28"/>
          <w:szCs w:val="28"/>
        </w:rPr>
      </w:pPr>
      <w:bookmarkStart w:id="14" w:name="_Toc175233328"/>
      <w:r>
        <w:rPr>
          <w:rFonts w:hint="eastAsia" w:ascii="宋体" w:hAnsi="宋体" w:eastAsia="宋体"/>
          <w:sz w:val="28"/>
          <w:szCs w:val="28"/>
        </w:rPr>
        <w:t>结论与建议</w:t>
      </w:r>
      <w:bookmarkEnd w:id="14"/>
    </w:p>
    <w:p w14:paraId="20C3A11A">
      <w:pPr>
        <w:spacing w:line="360" w:lineRule="auto"/>
        <w:ind w:firstLine="480" w:firstLineChars="200"/>
        <w:rPr>
          <w:rFonts w:hint="eastAsia" w:ascii="宋体" w:hAnsi="宋体" w:eastAsia="宋体"/>
          <w:sz w:val="24"/>
        </w:rPr>
      </w:pPr>
      <w:r>
        <w:rPr>
          <w:rFonts w:hint="eastAsia" w:ascii="宋体" w:hAnsi="宋体" w:eastAsia="宋体"/>
          <w:sz w:val="24"/>
        </w:rPr>
        <w:t>农村工作是我省的大局，多年来人畜饮水困难制约着地区经济的发展，影响着群众生产、生活。解决农村人畜饮水净化安全项目，是项目区广大人民群众多年的心愿，是振兴当地经济、发展生产的重要举措，其建成后，可方便群众生活，改善饮水卫生条件，增强人民体质，减少村民医药费支出，可极大的调动农民群众的生产积极性。这对于振兴地区民族经济，促进精神文明建设，加强民族团结，保持社会稳定都具有十分重要的作用。</w:t>
      </w:r>
    </w:p>
    <w:p w14:paraId="0C0829DB">
      <w:pPr>
        <w:spacing w:line="360" w:lineRule="auto"/>
        <w:ind w:firstLine="480" w:firstLineChars="200"/>
        <w:rPr>
          <w:rFonts w:hint="eastAsia" w:ascii="宋体" w:hAnsi="宋体" w:eastAsia="宋体"/>
          <w:sz w:val="24"/>
        </w:rPr>
      </w:pPr>
      <w:r>
        <w:rPr>
          <w:rFonts w:hint="eastAsia" w:ascii="宋体" w:hAnsi="宋体" w:eastAsia="宋体"/>
          <w:sz w:val="24"/>
        </w:rPr>
        <w:t>本项目受到了当地各级政府部门的重视和农民群众的热情盼望，同党中央国务院关于农村饮水安全的精神一致，同时加上各级部门积极配合，深入项目区进行调研，落实农村人畜饮水净化配套工程建设项目方案，拟定项目措施，精心规划为项目的实施创造了良好条件。</w:t>
      </w:r>
    </w:p>
    <w:p w14:paraId="303A6E02">
      <w:pPr>
        <w:spacing w:line="360" w:lineRule="auto"/>
        <w:ind w:firstLine="480" w:firstLineChars="200"/>
        <w:rPr>
          <w:rFonts w:hint="eastAsia" w:ascii="宋体" w:hAnsi="宋体" w:eastAsia="宋体"/>
          <w:sz w:val="24"/>
        </w:rPr>
      </w:pPr>
      <w:r>
        <w:rPr>
          <w:rFonts w:hint="eastAsia" w:ascii="宋体" w:hAnsi="宋体" w:eastAsia="宋体"/>
          <w:sz w:val="24"/>
        </w:rPr>
        <w:t>本项目规模适当，水源水质的保障，工程比较简单，无复杂技术问题。项目的实施不存在大问题。本项目建设目标明确、建设内容清楚，可达到预期成效，在基础条件、技术、经济等方面，都是可行的。项目建成后，其实施效益十分显著，因此，本项目的建设十分必要，建议主管部门及早付诸实施。</w:t>
      </w:r>
    </w:p>
    <w:p w14:paraId="4C9B0616">
      <w:pPr>
        <w:widowControl/>
        <w:jc w:val="left"/>
        <w:rPr>
          <w:rFonts w:hint="eastAsia" w:ascii="宋体" w:hAnsi="宋体" w:eastAsia="宋体"/>
          <w:sz w:val="24"/>
        </w:rPr>
      </w:pPr>
      <w:r>
        <w:rPr>
          <w:rFonts w:hint="eastAsia" w:ascii="宋体" w:hAnsi="宋体" w:eastAsia="宋体"/>
          <w:sz w:val="24"/>
        </w:rPr>
        <w:br w:type="page"/>
      </w:r>
    </w:p>
    <w:p w14:paraId="0482390F">
      <w:pPr>
        <w:pStyle w:val="2"/>
        <w:spacing w:before="120" w:after="120" w:line="360" w:lineRule="auto"/>
        <w:jc w:val="center"/>
        <w:sectPr>
          <w:footerReference r:id="rId8" w:type="default"/>
          <w:pgSz w:w="11910" w:h="16840"/>
          <w:pgMar w:top="1440" w:right="1800" w:bottom="1440" w:left="1800" w:header="882" w:footer="936" w:gutter="0"/>
          <w:pgNumType w:start="1"/>
          <w:cols w:space="720" w:num="1"/>
          <w:docGrid w:linePitch="286" w:charSpace="0"/>
        </w:sectPr>
      </w:pPr>
    </w:p>
    <w:p w14:paraId="6A5FF085">
      <w:pPr>
        <w:pStyle w:val="2"/>
        <w:spacing w:before="120" w:after="120" w:line="360" w:lineRule="auto"/>
        <w:jc w:val="center"/>
      </w:pPr>
      <w:bookmarkStart w:id="15" w:name="_Toc175233329"/>
      <w:r>
        <w:rPr>
          <w:rFonts w:hint="eastAsia"/>
        </w:rPr>
        <w:t>项目建设单位概况</w:t>
      </w:r>
      <w:bookmarkEnd w:id="15"/>
    </w:p>
    <w:p w14:paraId="7D9B15AC">
      <w:pPr>
        <w:spacing w:line="360" w:lineRule="auto"/>
        <w:ind w:firstLine="480" w:firstLineChars="200"/>
        <w:rPr>
          <w:rFonts w:hint="eastAsia" w:ascii="宋体" w:hAnsi="宋体" w:eastAsia="宋体"/>
          <w:sz w:val="24"/>
        </w:rPr>
      </w:pPr>
      <w:r>
        <w:rPr>
          <w:rFonts w:hint="eastAsia" w:ascii="宋体" w:hAnsi="宋体" w:eastAsia="宋体"/>
          <w:sz w:val="24"/>
        </w:rPr>
        <w:t>项目建设单位：西宁市湟中区水利建设管理中心</w:t>
      </w:r>
    </w:p>
    <w:p w14:paraId="419B7540">
      <w:pPr>
        <w:spacing w:line="360" w:lineRule="auto"/>
        <w:ind w:firstLine="480" w:firstLineChars="200"/>
      </w:pPr>
      <w:r>
        <w:rPr>
          <w:rFonts w:hint="eastAsia" w:ascii="宋体" w:hAnsi="宋体" w:eastAsia="宋体"/>
          <w:sz w:val="24"/>
        </w:rPr>
        <w:t>建设单位职能：承担全区水利建设项目技术支撑和服务。</w:t>
      </w:r>
    </w:p>
    <w:p w14:paraId="101C22A2">
      <w:pPr>
        <w:pStyle w:val="2"/>
        <w:spacing w:before="120" w:after="120" w:line="360" w:lineRule="auto"/>
        <w:jc w:val="center"/>
        <w:sectPr>
          <w:pgSz w:w="11910" w:h="16840"/>
          <w:pgMar w:top="1440" w:right="1800" w:bottom="1440" w:left="1800" w:header="882" w:footer="936" w:gutter="0"/>
          <w:cols w:space="720" w:num="1"/>
          <w:docGrid w:linePitch="286" w:charSpace="0"/>
        </w:sectPr>
      </w:pPr>
    </w:p>
    <w:p w14:paraId="587EC445">
      <w:pPr>
        <w:pStyle w:val="2"/>
        <w:spacing w:before="120" w:after="120" w:line="360" w:lineRule="auto"/>
        <w:jc w:val="center"/>
      </w:pPr>
      <w:bookmarkStart w:id="16" w:name="_Toc175233330"/>
      <w:r>
        <w:rPr>
          <w:rFonts w:hint="eastAsia"/>
        </w:rPr>
        <w:t>项目</w:t>
      </w:r>
      <w:bookmarkEnd w:id="3"/>
      <w:bookmarkEnd w:id="4"/>
      <w:r>
        <w:rPr>
          <w:rFonts w:hint="eastAsia"/>
        </w:rPr>
        <w:t>建设必要性和可行性</w:t>
      </w:r>
      <w:bookmarkEnd w:id="16"/>
    </w:p>
    <w:p w14:paraId="123C76BE">
      <w:pPr>
        <w:pStyle w:val="3"/>
        <w:spacing w:before="0" w:after="0" w:line="360" w:lineRule="auto"/>
        <w:rPr>
          <w:rFonts w:hint="eastAsia" w:ascii="宋体" w:hAnsi="宋体" w:eastAsia="宋体"/>
          <w:sz w:val="28"/>
          <w:szCs w:val="28"/>
        </w:rPr>
      </w:pPr>
      <w:bookmarkStart w:id="17" w:name="_Toc175233331"/>
      <w:r>
        <w:rPr>
          <w:rFonts w:hint="eastAsia" w:ascii="宋体" w:hAnsi="宋体" w:eastAsia="宋体"/>
          <w:sz w:val="28"/>
          <w:szCs w:val="28"/>
        </w:rPr>
        <w:t>项目实施背景</w:t>
      </w:r>
      <w:bookmarkEnd w:id="17"/>
    </w:p>
    <w:p w14:paraId="34A40B2D">
      <w:pPr>
        <w:spacing w:line="360" w:lineRule="auto"/>
        <w:ind w:firstLine="480" w:firstLineChars="200"/>
        <w:rPr>
          <w:rFonts w:hint="eastAsia" w:ascii="宋体" w:hAnsi="宋体" w:eastAsia="宋体"/>
          <w:sz w:val="24"/>
          <w:lang w:eastAsia="zh-Hans"/>
        </w:rPr>
      </w:pPr>
      <w:r>
        <w:rPr>
          <w:rFonts w:hint="eastAsia" w:ascii="宋体" w:hAnsi="宋体" w:eastAsia="宋体"/>
          <w:sz w:val="24"/>
        </w:rPr>
        <w:t>《国民经济“十四五”规划和2035年远景目标纲要》，强调推动物联网的全面发展，打造支持固移融合、宽窄结合的物联网接入能力。把物联网感知设备纳入公共基础设施统一规划建设，推进物联网应用和智能化改造。</w:t>
      </w:r>
    </w:p>
    <w:p w14:paraId="144D8103">
      <w:pPr>
        <w:spacing w:line="360" w:lineRule="auto"/>
        <w:ind w:firstLine="480" w:firstLineChars="200"/>
        <w:rPr>
          <w:rFonts w:hint="eastAsia" w:ascii="宋体" w:hAnsi="宋体" w:eastAsia="宋体" w:cs="Arial"/>
          <w:kern w:val="21"/>
          <w:sz w:val="24"/>
          <w:shd w:val="clear" w:color="auto" w:fill="FFFFFF" w:themeFill="background1"/>
        </w:rPr>
      </w:pPr>
      <w:r>
        <w:rPr>
          <w:rFonts w:hint="eastAsia" w:ascii="宋体" w:hAnsi="宋体" w:eastAsia="宋体"/>
          <w:sz w:val="24"/>
        </w:rPr>
        <w:t>饮用水水源地是居民饮水的源头，做好饮用水水源地安全管理和保护工作，既直接关系到居民日常生活基本需求，也关系到社会和谐稳定大局。</w:t>
      </w:r>
      <w:r>
        <w:rPr>
          <w:rFonts w:hint="eastAsia" w:ascii="宋体" w:hAnsi="宋体" w:eastAsia="宋体" w:cs="Arial"/>
          <w:kern w:val="21"/>
          <w:sz w:val="24"/>
          <w:shd w:val="clear" w:color="auto" w:fill="FFFFFF" w:themeFill="background1"/>
        </w:rPr>
        <w:t>根据生态环境部印发的《“十四五”生态环境监测规划》要求提升县级及以上集中式饮用水水源地及其上游自动监测能力，及时预警饮用水源安全风险，优化水源地水环境质量监测。</w:t>
      </w:r>
    </w:p>
    <w:p w14:paraId="7C5B0463">
      <w:pPr>
        <w:spacing w:line="360" w:lineRule="auto"/>
        <w:ind w:firstLine="480" w:firstLineChars="200"/>
        <w:rPr>
          <w:rFonts w:hint="eastAsia" w:ascii="宋体" w:hAnsi="宋体" w:eastAsia="宋体" w:cs="Arial"/>
          <w:kern w:val="21"/>
          <w:sz w:val="24"/>
          <w:lang w:val="zh-CN"/>
        </w:rPr>
      </w:pPr>
      <w:r>
        <w:rPr>
          <w:rFonts w:hint="eastAsia" w:ascii="宋体" w:hAnsi="宋体" w:eastAsia="宋体" w:cs="Arial"/>
          <w:kern w:val="21"/>
          <w:sz w:val="24"/>
          <w:shd w:val="clear" w:color="auto" w:fill="FFFFFF" w:themeFill="background1"/>
          <w:lang w:val="zh-CN"/>
        </w:rPr>
        <w:t>湟中区现有地表水水源地1</w:t>
      </w:r>
      <w:r>
        <w:rPr>
          <w:rFonts w:ascii="宋体" w:hAnsi="宋体" w:eastAsia="宋体" w:cs="Arial"/>
          <w:kern w:val="21"/>
          <w:sz w:val="24"/>
          <w:shd w:val="clear" w:color="auto" w:fill="FFFFFF" w:themeFill="background1"/>
          <w:lang w:val="zh-CN"/>
        </w:rPr>
        <w:t>4</w:t>
      </w:r>
      <w:r>
        <w:rPr>
          <w:rFonts w:hint="eastAsia" w:ascii="宋体" w:hAnsi="宋体" w:eastAsia="宋体" w:cs="Arial"/>
          <w:kern w:val="21"/>
          <w:sz w:val="24"/>
          <w:shd w:val="clear" w:color="auto" w:fill="FFFFFF" w:themeFill="background1"/>
          <w:lang w:val="zh-CN"/>
        </w:rPr>
        <w:t>处</w:t>
      </w:r>
      <w:r>
        <w:rPr>
          <w:rFonts w:hint="eastAsia" w:ascii="宋体" w:hAnsi="宋体" w:eastAsia="宋体" w:cs="Arial"/>
          <w:kern w:val="21"/>
          <w:sz w:val="24"/>
          <w:lang w:val="zh-CN"/>
        </w:rPr>
        <w:t>，国家东西部合作建设的</w:t>
      </w:r>
      <w:r>
        <w:rPr>
          <w:rFonts w:hint="eastAsia" w:ascii="宋体" w:hAnsi="宋体" w:eastAsia="宋体" w:cs="Arial"/>
          <w:kern w:val="21"/>
          <w:sz w:val="24"/>
          <w:shd w:val="clear" w:color="auto" w:fill="FFFFFF" w:themeFill="background1"/>
          <w:lang w:val="zh-CN"/>
        </w:rPr>
        <w:t>水源地</w:t>
      </w:r>
      <w:r>
        <w:rPr>
          <w:rFonts w:hint="eastAsia" w:ascii="宋体" w:hAnsi="宋体" w:eastAsia="宋体" w:cs="Arial"/>
          <w:kern w:val="21"/>
          <w:sz w:val="24"/>
          <w:lang w:val="zh-CN"/>
        </w:rPr>
        <w:t>负责湟中区</w:t>
      </w:r>
      <w:r>
        <w:rPr>
          <w:rFonts w:ascii="宋体" w:hAnsi="宋体" w:eastAsia="宋体" w:cs="Arial"/>
          <w:kern w:val="21"/>
          <w:sz w:val="24"/>
          <w:lang w:val="zh-CN"/>
        </w:rPr>
        <w:t>50%</w:t>
      </w:r>
      <w:r>
        <w:rPr>
          <w:rFonts w:hint="eastAsia" w:ascii="宋体" w:hAnsi="宋体" w:eastAsia="宋体" w:cs="Arial"/>
          <w:kern w:val="21"/>
          <w:sz w:val="24"/>
          <w:lang w:val="zh-CN"/>
        </w:rPr>
        <w:t>人口饮水的供给，各</w:t>
      </w:r>
      <w:r>
        <w:rPr>
          <w:rFonts w:hint="eastAsia" w:ascii="宋体" w:hAnsi="宋体" w:eastAsia="宋体" w:cs="Arial"/>
          <w:kern w:val="21"/>
          <w:sz w:val="24"/>
          <w:shd w:val="clear" w:color="auto" w:fill="FFFFFF" w:themeFill="background1"/>
          <w:lang w:val="zh-CN"/>
        </w:rPr>
        <w:t>水源地</w:t>
      </w:r>
      <w:r>
        <w:rPr>
          <w:rFonts w:hint="eastAsia" w:ascii="宋体" w:hAnsi="宋体" w:eastAsia="宋体" w:cs="Arial"/>
          <w:kern w:val="21"/>
          <w:sz w:val="24"/>
          <w:lang w:val="zh-CN"/>
        </w:rPr>
        <w:t>目前缺少有效的水质监测手段，无法保证</w:t>
      </w:r>
      <w:r>
        <w:rPr>
          <w:rFonts w:hint="eastAsia" w:ascii="宋体" w:hAnsi="宋体" w:eastAsia="宋体" w:cs="Arial"/>
          <w:kern w:val="21"/>
          <w:sz w:val="24"/>
          <w:shd w:val="clear" w:color="auto" w:fill="FFFFFF" w:themeFill="background1"/>
          <w:lang w:val="zh-CN"/>
        </w:rPr>
        <w:t>水源地</w:t>
      </w:r>
      <w:r>
        <w:rPr>
          <w:rFonts w:hint="eastAsia" w:ascii="宋体" w:hAnsi="宋体" w:eastAsia="宋体" w:cs="Arial"/>
          <w:kern w:val="21"/>
          <w:sz w:val="24"/>
          <w:lang w:val="zh-CN"/>
        </w:rPr>
        <w:t>的稳定运行和辖区居民的用水安全。</w:t>
      </w:r>
    </w:p>
    <w:p w14:paraId="4AC441ED">
      <w:pPr>
        <w:spacing w:line="360" w:lineRule="auto"/>
        <w:ind w:firstLine="480" w:firstLineChars="200"/>
        <w:rPr>
          <w:rFonts w:hint="eastAsia" w:ascii="宋体" w:hAnsi="宋体" w:eastAsia="宋体" w:cs="Arial"/>
          <w:kern w:val="21"/>
          <w:sz w:val="24"/>
          <w:shd w:val="clear" w:color="auto" w:fill="FFFFFF" w:themeFill="background1"/>
        </w:rPr>
      </w:pPr>
      <w:r>
        <w:rPr>
          <w:rFonts w:hint="eastAsia" w:ascii="宋体" w:hAnsi="宋体" w:eastAsia="宋体" w:cs="Arial"/>
          <w:kern w:val="21"/>
          <w:sz w:val="24"/>
          <w:shd w:val="clear" w:color="auto" w:fill="FFFFFF" w:themeFill="background1"/>
        </w:rPr>
        <w:t>湟中区多巴拉沙片人畜饮水工程水源地缺少水质净化设备，雨季水质偶有浑浊现象，需增添净化设备，以改善供水水质，进一步提升群众生活质量；湟中区的14处千吨万人供水工程水源地缺少水质监测设施，在发生水质异常时无法掌控水源水质状况，无法做到防范，影响供水工程的稳定运行和辖区居民的用水安全。14处千吨万人供水工程水源地需配置实时监控设备、视频监控摄像头和视频联动报警装置，以补充完备农村供水工程正常运行安全保障措施。</w:t>
      </w:r>
    </w:p>
    <w:p w14:paraId="6621F397">
      <w:pPr>
        <w:spacing w:line="360" w:lineRule="auto"/>
        <w:ind w:firstLine="480" w:firstLineChars="200"/>
        <w:rPr>
          <w:rFonts w:hint="eastAsia" w:ascii="宋体" w:hAnsi="宋体" w:eastAsia="宋体" w:cs="Arial"/>
          <w:kern w:val="21"/>
          <w:sz w:val="24"/>
          <w:shd w:val="clear" w:color="auto" w:fill="FFFFFF" w:themeFill="background1"/>
          <w:lang w:val="zh-CN"/>
        </w:rPr>
      </w:pPr>
      <w:r>
        <w:rPr>
          <w:rFonts w:hint="eastAsia" w:ascii="宋体" w:hAnsi="宋体" w:eastAsia="宋体" w:cs="Arial"/>
          <w:kern w:val="21"/>
          <w:sz w:val="24"/>
          <w:shd w:val="clear" w:color="auto" w:fill="FFFFFF" w:themeFill="background1"/>
          <w:lang w:val="zh-CN"/>
        </w:rPr>
        <w:t>水源地水中含有泥土、粉砂、微细有机物、无机物、浮游生物等悬浮物和胶体物，此类物质可使水质变的浑浊，尤其遇到暴雨天气，混浊度明显增加。若不及时关闭进水闸门严重影响水源地净水设备的正常运行，除了增加设备故障率之外还要消耗大量的电能和化学试剂来保证饮水安全，因此水质净化和水质浑浊度提前监测预警监测十分重要。</w:t>
      </w:r>
    </w:p>
    <w:p w14:paraId="3F8AE789">
      <w:pPr>
        <w:spacing w:line="360" w:lineRule="auto"/>
        <w:ind w:firstLine="480" w:firstLineChars="200"/>
        <w:rPr>
          <w:rFonts w:hint="eastAsia" w:ascii="宋体" w:hAnsi="宋体" w:eastAsia="宋体" w:cs="Arial"/>
          <w:kern w:val="21"/>
          <w:sz w:val="24"/>
        </w:rPr>
      </w:pPr>
      <w:r>
        <w:rPr>
          <w:rFonts w:ascii="宋体" w:hAnsi="宋体" w:eastAsia="宋体" w:cs="Arial"/>
          <w:kern w:val="21"/>
          <w:sz w:val="24"/>
          <w:shd w:val="clear" w:color="auto" w:fill="FFFFFF" w:themeFill="background1"/>
          <w:lang w:val="zh-CN"/>
        </w:rPr>
        <w:t>为了保证</w:t>
      </w:r>
      <w:r>
        <w:rPr>
          <w:rFonts w:hint="eastAsia" w:ascii="宋体" w:hAnsi="宋体" w:eastAsia="宋体" w:cs="Arial"/>
          <w:kern w:val="21"/>
          <w:sz w:val="24"/>
          <w:shd w:val="clear" w:color="auto" w:fill="FFFFFF" w:themeFill="background1"/>
          <w:lang w:val="zh-CN"/>
        </w:rPr>
        <w:t>水源地</w:t>
      </w:r>
      <w:r>
        <w:rPr>
          <w:rFonts w:ascii="宋体" w:hAnsi="宋体" w:eastAsia="宋体" w:cs="Arial"/>
          <w:kern w:val="21"/>
          <w:sz w:val="24"/>
          <w:shd w:val="clear" w:color="auto" w:fill="FFFFFF" w:themeFill="background1"/>
          <w:lang w:val="zh-CN"/>
        </w:rPr>
        <w:t>的安全稳定运行，保证居民供水安全，</w:t>
      </w:r>
      <w:r>
        <w:rPr>
          <w:rFonts w:hint="eastAsia" w:ascii="宋体" w:hAnsi="宋体" w:eastAsia="宋体" w:cs="Arial"/>
          <w:kern w:val="21"/>
          <w:sz w:val="24"/>
          <w:shd w:val="clear" w:color="auto" w:fill="FFFFFF" w:themeFill="background1"/>
          <w:lang w:val="zh-CN"/>
        </w:rPr>
        <w:t>需要重点监测水源浑浊度，当发现上游水质浑浊或泥沙大时，立即启动视频联动报警系统，管理人员可以实时查看监控图片，能够及时关闭进水口闸门，避免浑浊度高的水流入。</w:t>
      </w:r>
    </w:p>
    <w:p w14:paraId="4EE13A07">
      <w:pPr>
        <w:pStyle w:val="3"/>
        <w:spacing w:before="0" w:after="0" w:line="360" w:lineRule="auto"/>
        <w:rPr>
          <w:rFonts w:hint="eastAsia" w:ascii="宋体" w:hAnsi="宋体" w:eastAsia="宋体"/>
          <w:sz w:val="28"/>
          <w:szCs w:val="28"/>
        </w:rPr>
      </w:pPr>
      <w:bookmarkStart w:id="18" w:name="_Toc175233332"/>
      <w:r>
        <w:rPr>
          <w:rFonts w:hint="eastAsia" w:ascii="宋体" w:hAnsi="宋体" w:eastAsia="宋体"/>
          <w:sz w:val="28"/>
          <w:szCs w:val="28"/>
        </w:rPr>
        <w:t>项目实施必要性</w:t>
      </w:r>
      <w:bookmarkEnd w:id="18"/>
    </w:p>
    <w:p w14:paraId="317BEE6B">
      <w:pPr>
        <w:spacing w:line="360" w:lineRule="auto"/>
        <w:ind w:firstLine="480" w:firstLineChars="200"/>
        <w:rPr>
          <w:rFonts w:hint="eastAsia" w:ascii="宋体" w:hAnsi="宋体" w:eastAsia="宋体" w:cs="Arial"/>
          <w:kern w:val="21"/>
          <w:sz w:val="24"/>
          <w:shd w:val="clear" w:color="auto" w:fill="FFFFFF" w:themeFill="background1"/>
          <w:lang w:val="zh-CN"/>
        </w:rPr>
      </w:pPr>
      <w:r>
        <w:rPr>
          <w:rFonts w:hint="eastAsia" w:ascii="宋体" w:hAnsi="宋体" w:eastAsia="宋体" w:cs="Arial"/>
          <w:kern w:val="21"/>
          <w:sz w:val="24"/>
          <w:shd w:val="clear" w:color="auto" w:fill="FFFFFF" w:themeFill="background1"/>
          <w:lang w:val="zh-CN"/>
        </w:rPr>
        <w:t>解决项目区人畜饮水净化是农村经济生活中的一件大事。这项活动以发展农村经济、保持农村稳定为中心，帮助村民群众解决突出的实际问题，得到广大村民群众的热烈欢迎。农村安全饮水问题是缺水地区老百姓所面临的最直接、最实际、最紧迫的生活问题。解决农村安全饮水问题，就是关心农村民，支持农村经济发展，为村民增加收入创造条件，有利于保持农村的稳定，是水利部门义不容辞的责任。解决项目区饮水安全问题，不仅关系到人民群众生活质量的提高、健康状况的改善，而且关系到项目区村民群众脱贫致富奔小康以及宏观经济持续健康发展和保持社会稳定的大局。</w:t>
      </w:r>
    </w:p>
    <w:p w14:paraId="7A764A78">
      <w:pPr>
        <w:spacing w:line="360" w:lineRule="auto"/>
        <w:ind w:firstLine="480" w:firstLineChars="200"/>
        <w:rPr>
          <w:rFonts w:hint="eastAsia" w:ascii="宋体" w:hAnsi="宋体" w:eastAsia="宋体" w:cs="Arial"/>
          <w:kern w:val="21"/>
          <w:sz w:val="24"/>
          <w:shd w:val="clear" w:color="auto" w:fill="FFFFFF" w:themeFill="background1"/>
          <w:lang w:val="zh-CN"/>
        </w:rPr>
      </w:pPr>
      <w:r>
        <w:rPr>
          <w:rFonts w:hint="eastAsia" w:ascii="宋体" w:hAnsi="宋体" w:eastAsia="宋体"/>
          <w:sz w:val="24"/>
        </w:rPr>
        <w:t>劣质饮用水严重影响人的生命健康，由于缺少足量优质的饮用水，当地农村的环境卫生、个人卫生都难以得到保障，健康水平、生活质量难以提高。因此，要减少疾病，提高健康水平，最行之有效的措施就是使所有人得到安全的饮用水和合格的卫生条件。</w:t>
      </w:r>
      <w:r>
        <w:rPr>
          <w:rFonts w:hint="eastAsia" w:ascii="宋体" w:hAnsi="宋体" w:eastAsia="宋体" w:cs="Arial"/>
          <w:kern w:val="21"/>
          <w:sz w:val="24"/>
          <w:shd w:val="clear" w:color="auto" w:fill="FFFFFF" w:themeFill="background1"/>
          <w:lang w:val="zh-CN"/>
        </w:rPr>
        <w:t>因此水质净化和水质浑浊度提前监测预警监测的建设就十分必要。</w:t>
      </w:r>
    </w:p>
    <w:p w14:paraId="2713E85D">
      <w:pPr>
        <w:spacing w:line="360" w:lineRule="auto"/>
        <w:ind w:firstLine="480" w:firstLineChars="200"/>
        <w:rPr>
          <w:rFonts w:hint="eastAsia" w:ascii="宋体" w:hAnsi="宋体" w:eastAsia="宋体" w:cs="Arial"/>
          <w:kern w:val="21"/>
          <w:sz w:val="24"/>
          <w:shd w:val="clear" w:color="auto" w:fill="FFFFFF" w:themeFill="background1"/>
          <w:lang w:val="zh-CN"/>
        </w:rPr>
      </w:pPr>
      <w:r>
        <w:rPr>
          <w:rFonts w:hint="eastAsia" w:ascii="宋体" w:hAnsi="宋体" w:eastAsia="宋体"/>
          <w:sz w:val="24"/>
        </w:rPr>
        <w:t>湟中区多巴拉沙片人畜饮水工程水源地缺少水质净化设备，雨季水质偶有浑浊现象，</w:t>
      </w:r>
      <w:r>
        <w:rPr>
          <w:rFonts w:hint="eastAsia" w:ascii="宋体" w:hAnsi="宋体" w:eastAsia="宋体" w:cs="仿宋"/>
          <w:sz w:val="24"/>
        </w:rPr>
        <w:t>导致水质不达标，</w:t>
      </w:r>
      <w:r>
        <w:rPr>
          <w:rFonts w:hint="eastAsia" w:ascii="宋体" w:hAnsi="宋体" w:eastAsia="宋体"/>
          <w:sz w:val="24"/>
        </w:rPr>
        <w:t>由于缺少足量优质的饮用水，当地农村的环境卫生、个人卫生都难以得到保障，健康水平、生活质量难以提高，</w:t>
      </w:r>
      <w:r>
        <w:rPr>
          <w:rFonts w:hint="eastAsia" w:ascii="宋体" w:hAnsi="宋体" w:eastAsia="宋体" w:cs="仿宋"/>
          <w:sz w:val="24"/>
        </w:rPr>
        <w:t>直接影响到了当地村民的生活与生产。</w:t>
      </w:r>
    </w:p>
    <w:p w14:paraId="41C5FA8C">
      <w:pPr>
        <w:spacing w:line="360" w:lineRule="auto"/>
        <w:ind w:firstLine="480" w:firstLineChars="200"/>
        <w:rPr>
          <w:rFonts w:hint="eastAsia" w:ascii="宋体" w:hAnsi="宋体" w:eastAsia="宋体" w:cs="Arial"/>
          <w:kern w:val="21"/>
          <w:sz w:val="24"/>
          <w:shd w:val="clear" w:color="auto" w:fill="FFFFFF" w:themeFill="background1"/>
        </w:rPr>
      </w:pPr>
      <w:r>
        <w:rPr>
          <w:rFonts w:hint="eastAsia" w:ascii="宋体" w:hAnsi="宋体" w:eastAsia="宋体" w:cs="Arial"/>
          <w:kern w:val="21"/>
          <w:sz w:val="24"/>
          <w:shd w:val="clear" w:color="auto" w:fill="FFFFFF" w:themeFill="background1"/>
        </w:rPr>
        <w:t>湟中区的14处千吨万人供水工程水源地缺少水质监测设施，在发生水质异常时无法掌控水源水质状况，无法做到防范，影响供水工程的稳定运行和辖区居民的用水安全。</w:t>
      </w:r>
    </w:p>
    <w:p w14:paraId="6329A0A1">
      <w:pPr>
        <w:spacing w:line="360" w:lineRule="auto"/>
        <w:ind w:firstLine="480" w:firstLineChars="200"/>
        <w:rPr>
          <w:rFonts w:hint="eastAsia" w:ascii="宋体" w:hAnsi="宋体" w:eastAsia="宋体" w:cs="Arial"/>
          <w:kern w:val="21"/>
          <w:sz w:val="24"/>
          <w:shd w:val="clear" w:color="auto" w:fill="FFFFFF" w:themeFill="background1"/>
        </w:rPr>
      </w:pPr>
      <w:r>
        <w:rPr>
          <w:rFonts w:hint="eastAsia" w:ascii="宋体" w:hAnsi="宋体" w:eastAsia="宋体" w:cs="Arial"/>
          <w:kern w:val="21"/>
          <w:sz w:val="24"/>
          <w:shd w:val="clear" w:color="auto" w:fill="FFFFFF" w:themeFill="background1"/>
        </w:rPr>
        <w:t>湟中区14处千吨万人供水工程水源地需配置实时监控设备、视频监控摄像头和视频联动报警装置，以补充完备农村供水工程正常运行安全保障措施。</w:t>
      </w:r>
    </w:p>
    <w:p w14:paraId="4F041D2D">
      <w:pPr>
        <w:pStyle w:val="3"/>
        <w:spacing w:before="0" w:after="0" w:line="360" w:lineRule="auto"/>
        <w:rPr>
          <w:rFonts w:hint="eastAsia" w:ascii="宋体" w:hAnsi="宋体" w:eastAsia="宋体"/>
          <w:sz w:val="28"/>
          <w:szCs w:val="28"/>
        </w:rPr>
      </w:pPr>
      <w:bookmarkStart w:id="19" w:name="_Toc175233333"/>
      <w:r>
        <w:rPr>
          <w:rFonts w:hint="eastAsia" w:ascii="宋体" w:hAnsi="宋体" w:eastAsia="宋体"/>
          <w:sz w:val="28"/>
          <w:szCs w:val="28"/>
        </w:rPr>
        <w:t>项目实施可行性</w:t>
      </w:r>
      <w:bookmarkEnd w:id="19"/>
    </w:p>
    <w:p w14:paraId="6BE01545">
      <w:pPr>
        <w:spacing w:line="360" w:lineRule="auto"/>
        <w:ind w:firstLine="480" w:firstLineChars="200"/>
        <w:rPr>
          <w:rFonts w:hint="eastAsia" w:ascii="宋体" w:hAnsi="宋体" w:eastAsia="宋体" w:cs="Arial"/>
          <w:kern w:val="21"/>
          <w:sz w:val="24"/>
          <w:shd w:val="clear" w:color="auto" w:fill="FFFFFF" w:themeFill="background1"/>
        </w:rPr>
      </w:pPr>
      <w:r>
        <w:rPr>
          <w:rFonts w:hint="eastAsia" w:ascii="宋体" w:hAnsi="宋体" w:eastAsia="宋体" w:cs="Arial"/>
          <w:kern w:val="21"/>
          <w:sz w:val="24"/>
          <w:shd w:val="clear" w:color="auto" w:fill="FFFFFF" w:themeFill="background1"/>
        </w:rPr>
        <w:t>项目建设部门对农村饮水安全项目建设高度重视，建设资金筹措到位。</w:t>
      </w:r>
    </w:p>
    <w:p w14:paraId="0E9CF4AD">
      <w:pPr>
        <w:spacing w:line="360" w:lineRule="auto"/>
        <w:ind w:firstLine="480" w:firstLineChars="200"/>
        <w:rPr>
          <w:rFonts w:hint="eastAsia" w:ascii="宋体" w:hAnsi="宋体" w:eastAsia="宋体" w:cs="Arial"/>
          <w:kern w:val="21"/>
          <w:sz w:val="24"/>
          <w:shd w:val="clear" w:color="auto" w:fill="FFFFFF" w:themeFill="background1"/>
        </w:rPr>
      </w:pPr>
      <w:r>
        <w:rPr>
          <w:rFonts w:hint="eastAsia" w:ascii="宋体" w:hAnsi="宋体" w:eastAsia="宋体" w:cs="Arial"/>
          <w:kern w:val="21"/>
          <w:sz w:val="24"/>
          <w:shd w:val="clear" w:color="auto" w:fill="FFFFFF" w:themeFill="background1"/>
        </w:rPr>
        <w:t>项目区饮水管道配套完善，水质进行净化后适宜人畜饮用。</w:t>
      </w:r>
    </w:p>
    <w:p w14:paraId="36634706">
      <w:pPr>
        <w:spacing w:line="360" w:lineRule="auto"/>
        <w:ind w:firstLine="480" w:firstLineChars="200"/>
        <w:rPr>
          <w:rFonts w:hint="eastAsia" w:ascii="宋体" w:hAnsi="宋体" w:eastAsia="宋体" w:cs="Arial"/>
          <w:kern w:val="21"/>
          <w:sz w:val="24"/>
          <w:shd w:val="clear" w:color="auto" w:fill="FFFFFF" w:themeFill="background1"/>
          <w:lang w:val="zh-CN"/>
        </w:rPr>
      </w:pPr>
      <w:r>
        <w:rPr>
          <w:rFonts w:hint="eastAsia" w:ascii="宋体" w:hAnsi="宋体" w:eastAsia="宋体" w:cs="Arial"/>
          <w:kern w:val="21"/>
          <w:sz w:val="24"/>
          <w:shd w:val="clear" w:color="auto" w:fill="FFFFFF" w:themeFill="background1"/>
        </w:rPr>
        <w:t>项目建设单位建设齐全，技术人员配置到位。项目区群众参与工程建设和建后管理意识强烈。</w:t>
      </w:r>
    </w:p>
    <w:p w14:paraId="19A8712C">
      <w:pPr>
        <w:widowControl/>
        <w:jc w:val="left"/>
        <w:rPr>
          <w:rFonts w:hint="eastAsia" w:ascii="宋体" w:hAnsi="宋体" w:eastAsia="宋体" w:cs="Arial"/>
          <w:kern w:val="21"/>
          <w:sz w:val="24"/>
          <w:shd w:val="clear" w:color="auto" w:fill="FFFFFF" w:themeFill="background1"/>
          <w:lang w:val="zh-CN"/>
        </w:rPr>
      </w:pPr>
      <w:r>
        <w:rPr>
          <w:rFonts w:hint="eastAsia" w:ascii="宋体" w:hAnsi="宋体" w:eastAsia="宋体" w:cs="Arial"/>
          <w:kern w:val="21"/>
          <w:sz w:val="24"/>
          <w:shd w:val="clear" w:color="auto" w:fill="FFFFFF" w:themeFill="background1"/>
          <w:lang w:val="zh-CN"/>
        </w:rPr>
        <w:br w:type="page"/>
      </w:r>
    </w:p>
    <w:p w14:paraId="6E0A5D1A">
      <w:pPr>
        <w:pStyle w:val="2"/>
        <w:spacing w:before="120" w:after="120" w:line="360" w:lineRule="auto"/>
        <w:jc w:val="center"/>
      </w:pPr>
      <w:bookmarkStart w:id="20" w:name="_Toc173574201"/>
      <w:bookmarkStart w:id="21" w:name="_Toc175233334"/>
      <w:bookmarkStart w:id="22" w:name="_Toc153281590"/>
      <w:r>
        <w:rPr>
          <w:rFonts w:hint="eastAsia"/>
        </w:rPr>
        <w:t>项目需求分析</w:t>
      </w:r>
      <w:bookmarkEnd w:id="20"/>
      <w:bookmarkEnd w:id="21"/>
      <w:bookmarkEnd w:id="22"/>
    </w:p>
    <w:p w14:paraId="1EA2B086">
      <w:pPr>
        <w:pStyle w:val="3"/>
        <w:spacing w:before="0" w:after="0" w:line="360" w:lineRule="auto"/>
        <w:rPr>
          <w:rFonts w:hint="eastAsia" w:ascii="宋体" w:hAnsi="宋体" w:eastAsia="宋体"/>
          <w:sz w:val="28"/>
          <w:szCs w:val="28"/>
        </w:rPr>
      </w:pPr>
      <w:bookmarkStart w:id="23" w:name="_Toc175233335"/>
      <w:r>
        <w:rPr>
          <w:rFonts w:hint="eastAsia" w:ascii="宋体" w:hAnsi="宋体" w:eastAsia="宋体"/>
          <w:sz w:val="28"/>
          <w:szCs w:val="28"/>
        </w:rPr>
        <w:t>工程概况</w:t>
      </w:r>
      <w:bookmarkEnd w:id="23"/>
    </w:p>
    <w:p w14:paraId="625AC4BE">
      <w:pPr>
        <w:spacing w:line="360" w:lineRule="auto"/>
        <w:ind w:firstLine="480" w:firstLineChars="200"/>
        <w:rPr>
          <w:rFonts w:hint="eastAsia" w:ascii="宋体" w:hAnsi="宋体" w:eastAsia="宋体"/>
          <w:sz w:val="24"/>
        </w:rPr>
      </w:pPr>
      <w:r>
        <w:rPr>
          <w:rFonts w:hint="eastAsia" w:ascii="宋体" w:hAnsi="宋体" w:eastAsia="宋体"/>
          <w:sz w:val="24"/>
        </w:rPr>
        <w:t>湟中区多巴拉沙片人畜饮水工程水源地缺少水质净化设备，雨季水质偶有浑浊现象，需增添净化设备，以改善供水水质，进一步提升群众生活质量；湟中区的14处千吨万人供水工程水源地缺少水质监测设施，在发生水质异常时无法掌控水源水质状况，无法做到防范，影响供水工程的稳定运行和辖区居民的用水安全。14处千吨万人供水工程水源地需配置实时监控设备、视频监控摄像头和视频联动报警装置，以补充完备农村供水工程正常运行安全保障措施。</w:t>
      </w:r>
    </w:p>
    <w:p w14:paraId="4F3A927A">
      <w:pPr>
        <w:pStyle w:val="6"/>
        <w:spacing w:before="0" w:after="0" w:line="360" w:lineRule="auto"/>
        <w:rPr>
          <w:rFonts w:hint="eastAsia" w:ascii="宋体" w:hAnsi="宋体" w:eastAsia="宋体"/>
          <w:sz w:val="24"/>
        </w:rPr>
      </w:pPr>
      <w:bookmarkStart w:id="24" w:name="_Toc175233336"/>
      <w:r>
        <w:rPr>
          <w:rFonts w:hint="eastAsia" w:ascii="宋体" w:hAnsi="宋体" w:eastAsia="宋体"/>
          <w:sz w:val="24"/>
        </w:rPr>
        <w:t>水文及水源概况</w:t>
      </w:r>
      <w:bookmarkEnd w:id="24"/>
    </w:p>
    <w:p w14:paraId="151229EA">
      <w:pPr>
        <w:spacing w:line="360" w:lineRule="auto"/>
        <w:ind w:firstLine="480" w:firstLineChars="200"/>
        <w:rPr>
          <w:rFonts w:hint="eastAsia" w:ascii="宋体" w:hAnsi="宋体" w:eastAsia="宋体"/>
          <w:sz w:val="24"/>
        </w:rPr>
      </w:pPr>
      <w:r>
        <w:rPr>
          <w:rFonts w:hint="eastAsia" w:ascii="宋体" w:hAnsi="宋体" w:eastAsia="宋体"/>
          <w:sz w:val="24"/>
        </w:rPr>
        <w:t>本工程所涉及水源为上五庄镇拉寺目、李家山镇香林峡、云谷川水库、李家山镇九眼泉、田家寨镇流水沟、小南川水库、土门关乡香沟水库、田家寨镇安宁沟、共和镇盘道东岔、甘河南朔山青石坡断面、拉尔贯河、盘道水库、上新庄镇小马鸡沟（华山）、上新庄镇加牙共14处，总引水流量为3.1万m</w:t>
      </w:r>
      <w:r>
        <w:rPr>
          <w:rFonts w:hint="eastAsia" w:ascii="宋体" w:hAnsi="宋体" w:eastAsia="宋体"/>
          <w:sz w:val="24"/>
          <w:vertAlign w:val="superscript"/>
        </w:rPr>
        <w:t>3</w:t>
      </w:r>
      <w:r>
        <w:rPr>
          <w:rFonts w:hint="eastAsia" w:ascii="宋体" w:hAnsi="宋体" w:eastAsia="宋体"/>
          <w:sz w:val="24"/>
        </w:rPr>
        <w:t>/d，水源水量满足供水需求。</w:t>
      </w:r>
    </w:p>
    <w:p w14:paraId="74DEB671">
      <w:pPr>
        <w:pStyle w:val="6"/>
        <w:spacing w:before="0" w:after="0" w:line="360" w:lineRule="auto"/>
        <w:rPr>
          <w:rFonts w:hint="eastAsia" w:ascii="宋体" w:hAnsi="宋体" w:eastAsia="宋体"/>
          <w:sz w:val="24"/>
        </w:rPr>
      </w:pPr>
      <w:bookmarkStart w:id="25" w:name="_Toc175233337"/>
      <w:r>
        <w:rPr>
          <w:rFonts w:hint="eastAsia" w:ascii="宋体" w:hAnsi="宋体" w:eastAsia="宋体"/>
          <w:sz w:val="24"/>
        </w:rPr>
        <w:t>工程地质概况</w:t>
      </w:r>
      <w:bookmarkEnd w:id="25"/>
    </w:p>
    <w:p w14:paraId="1F0A1559">
      <w:pPr>
        <w:spacing w:line="360" w:lineRule="auto"/>
        <w:ind w:firstLine="480" w:firstLineChars="200"/>
        <w:rPr>
          <w:rFonts w:hint="eastAsia" w:ascii="宋体" w:hAnsi="宋体" w:eastAsia="宋体"/>
          <w:sz w:val="24"/>
        </w:rPr>
      </w:pPr>
      <w:r>
        <w:rPr>
          <w:rFonts w:hint="eastAsia" w:ascii="宋体" w:hAnsi="宋体" w:eastAsia="宋体"/>
          <w:sz w:val="24"/>
        </w:rPr>
        <w:t>1、根据《中国地震动参数区划图》(GB18306～2015)，工程区50年超越概率10%的地震动峰值加速度为0.10g，相应的地震基本烈度为Ⅶ度。</w:t>
      </w:r>
    </w:p>
    <w:p w14:paraId="60E1BA64">
      <w:pPr>
        <w:spacing w:line="360" w:lineRule="auto"/>
        <w:ind w:firstLine="480" w:firstLineChars="200"/>
        <w:rPr>
          <w:rFonts w:hint="eastAsia" w:ascii="宋体" w:hAnsi="宋体" w:eastAsia="宋体"/>
          <w:sz w:val="24"/>
        </w:rPr>
      </w:pPr>
      <w:r>
        <w:rPr>
          <w:rFonts w:hint="eastAsia" w:ascii="宋体" w:hAnsi="宋体" w:eastAsia="宋体"/>
          <w:sz w:val="24"/>
        </w:rPr>
        <w:t>2、场地表层为黄土，结构中密，下部层主要为砂卵砾石层，地下水水位埋深0.6～2.2m，开挖施工有影响，建议施工期间做好抽排水措施。工程地质条件基本适合水质净化设备、监控设备等安装场地。</w:t>
      </w:r>
    </w:p>
    <w:p w14:paraId="4EB87DF9">
      <w:pPr>
        <w:spacing w:line="360" w:lineRule="auto"/>
        <w:ind w:firstLine="480" w:firstLineChars="200"/>
        <w:rPr>
          <w:rFonts w:hint="eastAsia" w:ascii="宋体" w:hAnsi="宋体" w:eastAsia="宋体"/>
          <w:sz w:val="24"/>
        </w:rPr>
      </w:pPr>
      <w:r>
        <w:rPr>
          <w:rFonts w:hint="eastAsia" w:ascii="宋体" w:hAnsi="宋体" w:eastAsia="宋体"/>
          <w:sz w:val="24"/>
        </w:rPr>
        <w:t>3、工程区海拔在2680～3115m左右，建议标准冻深为110cm，最大冻深为150cm，复核黄土状土冻胀性。</w:t>
      </w:r>
    </w:p>
    <w:p w14:paraId="16C585A9">
      <w:pPr>
        <w:spacing w:line="360" w:lineRule="auto"/>
        <w:ind w:firstLine="480" w:firstLineChars="200"/>
        <w:rPr>
          <w:rFonts w:hint="eastAsia" w:ascii="宋体" w:hAnsi="宋体" w:eastAsia="宋体"/>
          <w:sz w:val="24"/>
        </w:rPr>
      </w:pPr>
      <w:r>
        <w:rPr>
          <w:rFonts w:hint="eastAsia" w:ascii="宋体" w:hAnsi="宋体" w:eastAsia="宋体"/>
          <w:sz w:val="24"/>
        </w:rPr>
        <w:t>4、地基土、环境水腐蚀性评价适合该项目。</w:t>
      </w:r>
    </w:p>
    <w:p w14:paraId="32A573D2">
      <w:pPr>
        <w:pStyle w:val="3"/>
        <w:spacing w:before="0" w:after="0" w:line="360" w:lineRule="auto"/>
        <w:rPr>
          <w:rFonts w:hint="eastAsia" w:ascii="宋体" w:hAnsi="宋体" w:eastAsia="宋体"/>
          <w:sz w:val="28"/>
          <w:szCs w:val="28"/>
        </w:rPr>
      </w:pPr>
      <w:bookmarkStart w:id="26" w:name="_Toc175233338"/>
      <w:r>
        <w:rPr>
          <w:rFonts w:hint="eastAsia" w:ascii="宋体" w:hAnsi="宋体" w:eastAsia="宋体"/>
          <w:sz w:val="28"/>
          <w:szCs w:val="28"/>
        </w:rPr>
        <w:t>业务需求分析</w:t>
      </w:r>
      <w:bookmarkEnd w:id="26"/>
    </w:p>
    <w:p w14:paraId="10590773">
      <w:pPr>
        <w:pStyle w:val="6"/>
        <w:spacing w:before="0" w:after="0" w:line="360" w:lineRule="auto"/>
        <w:rPr>
          <w:rFonts w:hint="eastAsia" w:ascii="宋体" w:hAnsi="宋体" w:eastAsia="宋体"/>
          <w:sz w:val="24"/>
        </w:rPr>
      </w:pPr>
      <w:bookmarkStart w:id="27" w:name="_Toc175233339"/>
      <w:r>
        <w:rPr>
          <w:rFonts w:hint="eastAsia" w:ascii="宋体" w:hAnsi="宋体" w:eastAsia="宋体"/>
          <w:sz w:val="24"/>
        </w:rPr>
        <w:t>水源地水质净化</w:t>
      </w:r>
      <w:bookmarkEnd w:id="27"/>
    </w:p>
    <w:p w14:paraId="427F772E">
      <w:pPr>
        <w:spacing w:line="360" w:lineRule="auto"/>
        <w:ind w:firstLine="480" w:firstLineChars="200"/>
        <w:rPr>
          <w:rFonts w:hint="eastAsia" w:ascii="宋体" w:hAnsi="宋体" w:eastAsia="宋体" w:cs="仿宋"/>
          <w:sz w:val="24"/>
        </w:rPr>
      </w:pPr>
      <w:r>
        <w:rPr>
          <w:rFonts w:hint="eastAsia" w:ascii="宋体" w:hAnsi="宋体" w:eastAsia="宋体"/>
          <w:sz w:val="24"/>
        </w:rPr>
        <w:t>湟中区多巴拉沙片人畜饮水工程水源地缺少水质净化设备，雨季水质偶有浑浊现象，</w:t>
      </w:r>
      <w:r>
        <w:rPr>
          <w:rFonts w:hint="eastAsia" w:ascii="宋体" w:hAnsi="宋体" w:eastAsia="宋体" w:cs="仿宋"/>
          <w:sz w:val="24"/>
        </w:rPr>
        <w:t>导致水质不达标，</w:t>
      </w:r>
      <w:r>
        <w:rPr>
          <w:rFonts w:hint="eastAsia" w:ascii="宋体" w:hAnsi="宋体" w:eastAsia="宋体"/>
          <w:sz w:val="24"/>
        </w:rPr>
        <w:t>由于缺少足量优质的饮用水，当地农村的环境卫生、个人卫生都难以得到保障，健康水平、生活质量难以提高，</w:t>
      </w:r>
      <w:r>
        <w:rPr>
          <w:rFonts w:hint="eastAsia" w:ascii="宋体" w:hAnsi="宋体" w:eastAsia="宋体" w:cs="仿宋"/>
          <w:sz w:val="24"/>
        </w:rPr>
        <w:t>直接影响到了当地村民的生活与生产。</w:t>
      </w:r>
    </w:p>
    <w:p w14:paraId="2F0C0697">
      <w:pPr>
        <w:spacing w:line="360" w:lineRule="auto"/>
        <w:ind w:firstLine="480" w:firstLineChars="200"/>
        <w:rPr>
          <w:rFonts w:hint="eastAsia" w:ascii="宋体" w:hAnsi="宋体" w:eastAsia="宋体"/>
          <w:sz w:val="24"/>
        </w:rPr>
      </w:pPr>
      <w:r>
        <w:rPr>
          <w:rFonts w:hint="eastAsia" w:ascii="宋体" w:hAnsi="宋体" w:eastAsia="宋体" w:cs="仿宋"/>
          <w:sz w:val="24"/>
        </w:rPr>
        <w:t>因此在多巴拉沙片人畜饮水工程水源地安装不</w:t>
      </w:r>
      <w:r>
        <w:rPr>
          <w:rFonts w:hint="eastAsia" w:ascii="宋体" w:hAnsi="宋体" w:eastAsia="宋体"/>
          <w:sz w:val="24"/>
        </w:rPr>
        <w:t>1台不锈钢过滤器进行水质净化，以改善供水水质，</w:t>
      </w:r>
      <w:r>
        <w:rPr>
          <w:rFonts w:ascii="宋体" w:hAnsi="宋体" w:eastAsia="宋体" w:cs="Arial"/>
          <w:kern w:val="21"/>
          <w:sz w:val="24"/>
          <w:shd w:val="clear" w:color="auto" w:fill="FFFFFF" w:themeFill="background1"/>
          <w:lang w:val="zh-CN"/>
        </w:rPr>
        <w:t>保证</w:t>
      </w:r>
      <w:r>
        <w:rPr>
          <w:rFonts w:hint="eastAsia" w:ascii="宋体" w:hAnsi="宋体" w:eastAsia="宋体" w:cs="Arial"/>
          <w:kern w:val="21"/>
          <w:sz w:val="24"/>
          <w:shd w:val="clear" w:color="auto" w:fill="FFFFFF" w:themeFill="background1"/>
          <w:lang w:val="zh-CN"/>
        </w:rPr>
        <w:t>人畜饮水</w:t>
      </w:r>
      <w:r>
        <w:rPr>
          <w:rFonts w:ascii="宋体" w:hAnsi="宋体" w:eastAsia="宋体" w:cs="Arial"/>
          <w:kern w:val="21"/>
          <w:sz w:val="24"/>
          <w:shd w:val="clear" w:color="auto" w:fill="FFFFFF" w:themeFill="background1"/>
          <w:lang w:val="zh-CN"/>
        </w:rPr>
        <w:t>安全</w:t>
      </w:r>
      <w:r>
        <w:rPr>
          <w:rFonts w:hint="eastAsia" w:ascii="宋体" w:hAnsi="宋体" w:eastAsia="宋体" w:cs="Arial"/>
          <w:kern w:val="21"/>
          <w:sz w:val="24"/>
          <w:shd w:val="clear" w:color="auto" w:fill="FFFFFF" w:themeFill="background1"/>
          <w:lang w:val="zh-CN"/>
        </w:rPr>
        <w:t>，</w:t>
      </w:r>
      <w:r>
        <w:rPr>
          <w:rFonts w:hint="eastAsia" w:ascii="宋体" w:hAnsi="宋体" w:eastAsia="宋体"/>
          <w:sz w:val="24"/>
        </w:rPr>
        <w:t>进一步提升群众生活质量。</w:t>
      </w:r>
    </w:p>
    <w:p w14:paraId="7B659163">
      <w:pPr>
        <w:pStyle w:val="6"/>
        <w:spacing w:before="0" w:after="0" w:line="360" w:lineRule="auto"/>
        <w:rPr>
          <w:rFonts w:hint="eastAsia" w:ascii="宋体" w:hAnsi="宋体" w:eastAsia="宋体"/>
          <w:sz w:val="24"/>
        </w:rPr>
      </w:pPr>
      <w:bookmarkStart w:id="28" w:name="_Toc175233340"/>
      <w:r>
        <w:rPr>
          <w:rFonts w:hint="eastAsia" w:ascii="宋体" w:hAnsi="宋体" w:eastAsia="宋体"/>
          <w:sz w:val="24"/>
        </w:rPr>
        <w:t>水源地水质在线监测及视频联动报警</w:t>
      </w:r>
      <w:bookmarkEnd w:id="28"/>
    </w:p>
    <w:p w14:paraId="02878E8F">
      <w:pPr>
        <w:spacing w:line="360" w:lineRule="auto"/>
        <w:ind w:firstLine="480" w:firstLineChars="200"/>
        <w:rPr>
          <w:rFonts w:hint="eastAsia" w:ascii="宋体" w:hAnsi="宋体" w:eastAsia="宋体"/>
          <w:sz w:val="24"/>
        </w:rPr>
      </w:pPr>
      <w:r>
        <w:rPr>
          <w:rFonts w:hint="eastAsia" w:ascii="宋体" w:hAnsi="宋体" w:eastAsia="宋体" w:cs="Arial"/>
          <w:kern w:val="21"/>
          <w:sz w:val="24"/>
          <w:shd w:val="clear" w:color="auto" w:fill="FFFFFF" w:themeFill="background1"/>
        </w:rPr>
        <w:t>湟中区的14处千吨万人供水工程水源地缺少水质监测设施，在发生水质异常时无法掌控水源水质状况，无法做到防范，影响供水工程的稳定运行和辖区居民的用水安全。</w:t>
      </w:r>
      <w:r>
        <w:rPr>
          <w:rFonts w:hint="eastAsia" w:ascii="宋体" w:hAnsi="宋体" w:eastAsia="宋体" w:cs="仿宋"/>
          <w:sz w:val="24"/>
        </w:rPr>
        <w:t>因此</w:t>
      </w:r>
      <w:r>
        <w:rPr>
          <w:rFonts w:hint="eastAsia" w:ascii="宋体" w:hAnsi="宋体" w:eastAsia="宋体" w:cs="Arial"/>
          <w:kern w:val="21"/>
          <w:sz w:val="24"/>
          <w:shd w:val="clear" w:color="auto" w:fill="FFFFFF" w:themeFill="background1"/>
        </w:rPr>
        <w:t>在水源地共计</w:t>
      </w:r>
      <w:r>
        <w:rPr>
          <w:rFonts w:hint="eastAsia" w:ascii="宋体" w:hAnsi="宋体" w:eastAsia="宋体"/>
          <w:sz w:val="24"/>
        </w:rPr>
        <w:t>安装14套水质监测设备和进行</w:t>
      </w:r>
      <w:r>
        <w:rPr>
          <w:rFonts w:hint="eastAsia" w:ascii="宋体" w:hAnsi="宋体" w:eastAsia="宋体" w:cs="Arial"/>
          <w:kern w:val="21"/>
          <w:sz w:val="24"/>
          <w:shd w:val="clear" w:color="auto" w:fill="FFFFFF" w:themeFill="background1"/>
          <w:lang w:val="zh-CN"/>
        </w:rPr>
        <w:t>水质浑浊度提前监测预警监测，能够及时关闭进水口闸门，避免浑浊度高的水流入</w:t>
      </w:r>
      <w:r>
        <w:rPr>
          <w:rFonts w:hint="eastAsia" w:ascii="宋体" w:hAnsi="宋体" w:eastAsia="宋体"/>
          <w:sz w:val="24"/>
        </w:rPr>
        <w:t>。</w:t>
      </w:r>
    </w:p>
    <w:p w14:paraId="0BF807E5">
      <w:pPr>
        <w:spacing w:line="360" w:lineRule="auto"/>
        <w:ind w:firstLine="480" w:firstLineChars="200"/>
        <w:rPr>
          <w:rFonts w:hint="eastAsia" w:ascii="宋体" w:hAnsi="宋体" w:eastAsia="宋体" w:cs="Arial"/>
          <w:kern w:val="21"/>
          <w:sz w:val="24"/>
          <w:shd w:val="clear" w:color="auto" w:fill="FFFFFF" w:themeFill="background1"/>
        </w:rPr>
      </w:pPr>
      <w:r>
        <w:rPr>
          <w:rFonts w:ascii="Times New Roman" w:hAnsi="Times New Roman" w:eastAsia="宋体" w:cs="Times New Roman"/>
          <w:kern w:val="21"/>
          <w:sz w:val="24"/>
          <w:shd w:val="clear" w:color="auto" w:fill="FFFFFF" w:themeFill="background1"/>
        </w:rPr>
        <w:t>‌</w:t>
      </w:r>
      <w:r>
        <w:rPr>
          <w:rFonts w:hint="eastAsia" w:ascii="宋体" w:hAnsi="宋体" w:eastAsia="宋体" w:cs="Arial"/>
          <w:kern w:val="21"/>
          <w:sz w:val="24"/>
          <w:shd w:val="clear" w:color="auto" w:fill="FFFFFF" w:themeFill="background1"/>
        </w:rPr>
        <w:t>本项目建设水质在线监测设备须优先选择采用220V本地供电，通过220V转24V转换模块接入设备。由于现场环境条件的限制，无法采用</w:t>
      </w:r>
      <w:r>
        <w:rPr>
          <w:rFonts w:hint="eastAsia" w:ascii="宋体" w:hAnsi="宋体" w:eastAsia="宋体" w:cs="宋体"/>
          <w:kern w:val="21"/>
          <w:sz w:val="24"/>
          <w:shd w:val="clear" w:color="auto" w:fill="FFFFFF" w:themeFill="background1"/>
        </w:rPr>
        <w:t>220V本地供电</w:t>
      </w:r>
      <w:r>
        <w:rPr>
          <w:rFonts w:hint="eastAsia" w:ascii="宋体" w:hAnsi="宋体" w:eastAsia="宋体" w:cs="Arial"/>
          <w:kern w:val="21"/>
          <w:sz w:val="24"/>
          <w:shd w:val="clear" w:color="auto" w:fill="FFFFFF" w:themeFill="background1"/>
        </w:rPr>
        <w:t>，可以选择使用太阳能供电</w:t>
      </w:r>
      <w:r>
        <w:rPr>
          <w:rFonts w:hint="eastAsia" w:ascii="宋体" w:hAnsi="宋体" w:eastAsia="宋体" w:cs="仿宋"/>
          <w:sz w:val="24"/>
        </w:rPr>
        <w:t>，要求太阳能板功率＞380W，锂电池容量≥200Ah</w:t>
      </w:r>
      <w:r>
        <w:rPr>
          <w:rFonts w:hint="eastAsia" w:ascii="宋体" w:hAnsi="宋体" w:eastAsia="宋体" w:cs="Arial"/>
          <w:kern w:val="21"/>
          <w:sz w:val="24"/>
          <w:shd w:val="clear" w:color="auto" w:fill="FFFFFF" w:themeFill="background1"/>
        </w:rPr>
        <w:t>。</w:t>
      </w:r>
      <w:r>
        <w:rPr>
          <w:rFonts w:ascii="Times New Roman" w:hAnsi="Times New Roman" w:eastAsia="宋体" w:cs="Times New Roman"/>
          <w:kern w:val="21"/>
          <w:sz w:val="24"/>
          <w:shd w:val="clear" w:color="auto" w:fill="FFFFFF" w:themeFill="background1"/>
        </w:rPr>
        <w:t>‌</w:t>
      </w:r>
      <w:r>
        <w:rPr>
          <w:rFonts w:hint="eastAsia" w:ascii="宋体" w:hAnsi="宋体" w:eastAsia="宋体" w:cs="宋体"/>
          <w:kern w:val="21"/>
          <w:sz w:val="24"/>
          <w:shd w:val="clear" w:color="auto" w:fill="FFFFFF" w:themeFill="background1"/>
        </w:rPr>
        <w:t>有利于保障水质监测的持</w:t>
      </w:r>
      <w:r>
        <w:rPr>
          <w:rFonts w:hint="eastAsia" w:ascii="宋体" w:hAnsi="宋体" w:eastAsia="宋体" w:cs="Arial"/>
          <w:kern w:val="21"/>
          <w:sz w:val="24"/>
          <w:shd w:val="clear" w:color="auto" w:fill="FFFFFF" w:themeFill="background1"/>
        </w:rPr>
        <w:t>续性和有效性。</w:t>
      </w:r>
    </w:p>
    <w:p w14:paraId="45538327">
      <w:pPr>
        <w:pStyle w:val="6"/>
        <w:spacing w:before="0" w:after="0" w:line="360" w:lineRule="auto"/>
        <w:rPr>
          <w:rFonts w:hint="eastAsia" w:ascii="宋体" w:hAnsi="宋体" w:eastAsia="宋体"/>
          <w:sz w:val="24"/>
        </w:rPr>
      </w:pPr>
      <w:bookmarkStart w:id="29" w:name="_Toc175233341"/>
      <w:r>
        <w:rPr>
          <w:rFonts w:hint="eastAsia" w:ascii="宋体" w:hAnsi="宋体" w:eastAsia="宋体"/>
          <w:sz w:val="24"/>
        </w:rPr>
        <w:t>水源地视频监控及算法自动报警</w:t>
      </w:r>
      <w:bookmarkEnd w:id="29"/>
    </w:p>
    <w:p w14:paraId="2FDB5A64">
      <w:pPr>
        <w:spacing w:line="360" w:lineRule="auto"/>
        <w:ind w:firstLine="480" w:firstLineChars="200"/>
        <w:rPr>
          <w:rFonts w:hint="eastAsia" w:ascii="宋体" w:hAnsi="宋体" w:eastAsia="宋体" w:cs="Arial"/>
          <w:kern w:val="21"/>
          <w:sz w:val="24"/>
          <w:shd w:val="clear" w:color="auto" w:fill="FFFFFF" w:themeFill="background1"/>
        </w:rPr>
      </w:pPr>
      <w:r>
        <w:rPr>
          <w:rFonts w:hint="eastAsia" w:ascii="宋体" w:hAnsi="宋体" w:eastAsia="宋体" w:cs="Arial"/>
          <w:kern w:val="21"/>
          <w:sz w:val="24"/>
          <w:shd w:val="clear" w:color="auto" w:fill="FFFFFF" w:themeFill="background1"/>
        </w:rPr>
        <w:t>湟中区14处千吨万人供水工程水源地需配置实时监控设备、视频监控摄像头和视频联动报警装置，以补充完备农村供水工程正常运行安全保障措施。共计安装15套警戒球机和无线网关。</w:t>
      </w:r>
    </w:p>
    <w:p w14:paraId="0D278566">
      <w:pPr>
        <w:spacing w:line="360" w:lineRule="auto"/>
        <w:ind w:firstLine="480" w:firstLineChars="200"/>
        <w:rPr>
          <w:rFonts w:hint="eastAsia" w:ascii="宋体" w:hAnsi="宋体" w:eastAsia="宋体" w:cs="仿宋"/>
          <w:sz w:val="24"/>
        </w:rPr>
      </w:pPr>
      <w:r>
        <w:rPr>
          <w:rFonts w:hint="eastAsia" w:ascii="宋体" w:hAnsi="宋体" w:eastAsia="宋体" w:cs="Arial"/>
          <w:kern w:val="21"/>
          <w:sz w:val="24"/>
          <w:shd w:val="clear" w:color="auto" w:fill="FFFFFF" w:themeFill="background1"/>
        </w:rPr>
        <w:t>本项目建设须优先选择采用220V本地供电，通过220V转24V转换模块接入设备。由于现场环境条件的限制，无法采用</w:t>
      </w:r>
      <w:r>
        <w:rPr>
          <w:rFonts w:hint="eastAsia" w:ascii="宋体" w:hAnsi="宋体" w:eastAsia="宋体" w:cs="宋体"/>
          <w:kern w:val="21"/>
          <w:sz w:val="24"/>
          <w:shd w:val="clear" w:color="auto" w:fill="FFFFFF" w:themeFill="background1"/>
        </w:rPr>
        <w:t>220V本地供电</w:t>
      </w:r>
      <w:r>
        <w:rPr>
          <w:rFonts w:hint="eastAsia" w:ascii="宋体" w:hAnsi="宋体" w:eastAsia="宋体" w:cs="Arial"/>
          <w:kern w:val="21"/>
          <w:sz w:val="24"/>
          <w:shd w:val="clear" w:color="auto" w:fill="FFFFFF" w:themeFill="background1"/>
        </w:rPr>
        <w:t>，可以选择使用太阳能供电</w:t>
      </w:r>
      <w:r>
        <w:rPr>
          <w:rFonts w:hint="eastAsia" w:ascii="宋体" w:hAnsi="宋体" w:eastAsia="宋体" w:cs="仿宋"/>
          <w:sz w:val="24"/>
        </w:rPr>
        <w:t>，要求太阳能板功率＞380W，锂电池容量≥200Ah。</w:t>
      </w:r>
    </w:p>
    <w:p w14:paraId="40355014">
      <w:pPr>
        <w:pStyle w:val="6"/>
        <w:spacing w:before="0" w:after="0" w:line="360" w:lineRule="auto"/>
        <w:rPr>
          <w:rFonts w:hint="eastAsia" w:ascii="宋体" w:hAnsi="宋体" w:eastAsia="宋体"/>
          <w:sz w:val="24"/>
        </w:rPr>
      </w:pPr>
      <w:bookmarkStart w:id="30" w:name="_Toc175233342"/>
      <w:bookmarkStart w:id="31" w:name="_Toc172620008"/>
      <w:bookmarkStart w:id="32" w:name="_Toc493702798"/>
      <w:bookmarkStart w:id="33" w:name="_Toc15975860"/>
      <w:bookmarkStart w:id="34" w:name="_Toc332971302"/>
      <w:bookmarkStart w:id="35" w:name="_Toc165909205"/>
      <w:bookmarkStart w:id="36" w:name="_Toc332971303"/>
      <w:bookmarkStart w:id="37" w:name="_Toc493702799"/>
      <w:bookmarkStart w:id="38" w:name="_Toc165909213"/>
      <w:bookmarkStart w:id="39" w:name="_Toc15975861"/>
      <w:r>
        <w:rPr>
          <w:rFonts w:hint="eastAsia" w:ascii="宋体" w:hAnsi="宋体" w:eastAsia="宋体"/>
          <w:sz w:val="24"/>
        </w:rPr>
        <w:t>配套工程软件系统</w:t>
      </w:r>
      <w:bookmarkEnd w:id="30"/>
    </w:p>
    <w:p w14:paraId="584DE7AE">
      <w:pPr>
        <w:spacing w:line="360" w:lineRule="auto"/>
        <w:ind w:firstLine="480" w:firstLineChars="200"/>
        <w:rPr>
          <w:rFonts w:hint="eastAsia" w:ascii="宋体" w:hAnsi="宋体" w:eastAsia="宋体" w:cs="Arial"/>
          <w:kern w:val="21"/>
          <w:sz w:val="24"/>
          <w:shd w:val="clear" w:color="auto" w:fill="FFFFFF" w:themeFill="background1"/>
        </w:rPr>
      </w:pPr>
      <w:r>
        <w:rPr>
          <w:rFonts w:hint="eastAsia" w:ascii="宋体" w:hAnsi="宋体" w:eastAsia="宋体" w:cs="Arial"/>
          <w:kern w:val="21"/>
          <w:sz w:val="24"/>
          <w:shd w:val="clear" w:color="auto" w:fill="FFFFFF" w:themeFill="background1"/>
        </w:rPr>
        <w:t>西宁市湟中区目前未建设水质监测平台，需新建配套软件系统平台，该平台须配有开放式接口，可实现与区、市级平台对接，实现信息共享。</w:t>
      </w:r>
    </w:p>
    <w:p w14:paraId="584337A3">
      <w:pPr>
        <w:spacing w:line="360" w:lineRule="auto"/>
        <w:ind w:firstLine="480" w:firstLineChars="200"/>
        <w:rPr>
          <w:rFonts w:hint="eastAsia" w:ascii="宋体" w:hAnsi="宋体" w:eastAsia="宋体" w:cs="Arial"/>
          <w:kern w:val="21"/>
          <w:sz w:val="24"/>
          <w:shd w:val="clear" w:color="auto" w:fill="FFFFFF" w:themeFill="background1"/>
        </w:rPr>
      </w:pPr>
      <w:r>
        <w:rPr>
          <w:rFonts w:hint="eastAsia" w:ascii="宋体" w:hAnsi="宋体" w:eastAsia="宋体" w:cs="Arial"/>
          <w:kern w:val="21"/>
          <w:sz w:val="24"/>
          <w:shd w:val="clear" w:color="auto" w:fill="FFFFFF" w:themeFill="background1"/>
        </w:rPr>
        <w:t>湟中区各水源地站点拥有独立账号，可查询该站点设备信息，水利局拥有总账号可查询所有水源地站点信息。</w:t>
      </w:r>
    </w:p>
    <w:p w14:paraId="3FBDE4F0">
      <w:pPr>
        <w:pStyle w:val="3"/>
        <w:spacing w:before="0" w:after="0" w:line="360" w:lineRule="auto"/>
        <w:rPr>
          <w:rFonts w:hint="eastAsia" w:ascii="宋体" w:hAnsi="宋体" w:eastAsia="宋体"/>
          <w:sz w:val="28"/>
          <w:szCs w:val="28"/>
        </w:rPr>
      </w:pPr>
      <w:bookmarkStart w:id="40" w:name="_Toc175233343"/>
      <w:r>
        <w:rPr>
          <w:rFonts w:hint="eastAsia" w:ascii="宋体" w:hAnsi="宋体" w:eastAsia="宋体"/>
          <w:sz w:val="28"/>
          <w:szCs w:val="28"/>
        </w:rPr>
        <w:t>安全需求分析</w:t>
      </w:r>
      <w:bookmarkEnd w:id="31"/>
      <w:bookmarkEnd w:id="40"/>
    </w:p>
    <w:p w14:paraId="7304A626">
      <w:pPr>
        <w:spacing w:line="360" w:lineRule="auto"/>
        <w:ind w:firstLine="480" w:firstLineChars="200"/>
        <w:rPr>
          <w:rFonts w:hint="eastAsia" w:ascii="宋体" w:hAnsi="宋体" w:eastAsia="宋体"/>
          <w:sz w:val="24"/>
        </w:rPr>
      </w:pPr>
      <w:r>
        <w:rPr>
          <w:rFonts w:hint="eastAsia" w:ascii="宋体" w:hAnsi="宋体" w:eastAsia="宋体"/>
          <w:sz w:val="24"/>
        </w:rPr>
        <w:t>安全系统的建设不仅关系到信息系统本身的稳定运行，还关系其他部门业务系统的稳定运行，因此它的网络、主机、存储备份设备、系统软件、应用软件等部分应该具有极高的可靠性；同时为保守党政机关和用户秘密，维护党政机关和用户的合法权益，信息资源中心应具备良好的安全策略、安全手段、安全环境及安全管理措施。</w:t>
      </w:r>
    </w:p>
    <w:p w14:paraId="1466ED47">
      <w:pPr>
        <w:pStyle w:val="6"/>
        <w:spacing w:before="0" w:after="0" w:line="360" w:lineRule="auto"/>
        <w:rPr>
          <w:rFonts w:hint="eastAsia" w:ascii="宋体" w:hAnsi="宋体" w:eastAsia="宋体"/>
          <w:sz w:val="24"/>
        </w:rPr>
      </w:pPr>
      <w:bookmarkStart w:id="41" w:name="_Toc456083917"/>
      <w:bookmarkStart w:id="42" w:name="_Toc175233344"/>
      <w:bookmarkStart w:id="43" w:name="_Toc428874598"/>
      <w:bookmarkStart w:id="44" w:name="_Toc172620009"/>
      <w:r>
        <w:rPr>
          <w:rFonts w:hint="eastAsia" w:ascii="宋体" w:hAnsi="宋体" w:eastAsia="宋体"/>
          <w:sz w:val="24"/>
        </w:rPr>
        <w:t>应用安全功能</w:t>
      </w:r>
      <w:bookmarkEnd w:id="41"/>
      <w:bookmarkEnd w:id="42"/>
      <w:bookmarkEnd w:id="43"/>
      <w:bookmarkEnd w:id="44"/>
    </w:p>
    <w:p w14:paraId="4BA97ECE">
      <w:pPr>
        <w:pStyle w:val="7"/>
        <w:spacing w:before="0" w:after="0" w:line="360" w:lineRule="auto"/>
        <w:rPr>
          <w:rFonts w:hint="eastAsia" w:ascii="宋体" w:hAnsi="宋体" w:eastAsia="宋体"/>
          <w:b w:val="0"/>
          <w:bCs/>
          <w:sz w:val="24"/>
        </w:rPr>
      </w:pPr>
      <w:bookmarkStart w:id="45" w:name="_Toc456083918"/>
      <w:bookmarkStart w:id="46" w:name="_Toc428874599"/>
      <w:r>
        <w:rPr>
          <w:rFonts w:hint="eastAsia" w:ascii="宋体" w:hAnsi="宋体" w:eastAsia="宋体"/>
          <w:b w:val="0"/>
          <w:bCs/>
          <w:sz w:val="24"/>
        </w:rPr>
        <w:t>用户登录加入组合认证机制</w:t>
      </w:r>
      <w:bookmarkEnd w:id="45"/>
      <w:bookmarkEnd w:id="46"/>
    </w:p>
    <w:p w14:paraId="40727FA6">
      <w:pPr>
        <w:spacing w:line="360" w:lineRule="auto"/>
        <w:ind w:firstLine="480" w:firstLineChars="200"/>
        <w:rPr>
          <w:rFonts w:hint="eastAsia" w:ascii="宋体" w:hAnsi="宋体" w:eastAsia="宋体"/>
          <w:sz w:val="24"/>
        </w:rPr>
      </w:pPr>
      <w:r>
        <w:rPr>
          <w:rFonts w:hint="eastAsia" w:ascii="宋体" w:hAnsi="宋体" w:eastAsia="宋体"/>
          <w:sz w:val="24"/>
        </w:rPr>
        <w:t>登录界面必须加入组合验证码认证机制。至少为8位长度的英文、数字组合。</w:t>
      </w:r>
    </w:p>
    <w:p w14:paraId="0397E2D8">
      <w:pPr>
        <w:pStyle w:val="7"/>
        <w:spacing w:before="0" w:after="0" w:line="360" w:lineRule="auto"/>
        <w:rPr>
          <w:rFonts w:hint="eastAsia" w:ascii="宋体" w:hAnsi="宋体" w:eastAsia="宋体"/>
          <w:b w:val="0"/>
          <w:bCs/>
          <w:sz w:val="24"/>
        </w:rPr>
      </w:pPr>
      <w:bookmarkStart w:id="47" w:name="_Toc428874601"/>
      <w:bookmarkStart w:id="48" w:name="_Toc456083920"/>
      <w:r>
        <w:rPr>
          <w:rFonts w:hint="eastAsia" w:ascii="宋体" w:hAnsi="宋体" w:eastAsia="宋体"/>
          <w:b w:val="0"/>
          <w:bCs/>
          <w:sz w:val="24"/>
        </w:rPr>
        <w:t>注销时清除内存所有数据</w:t>
      </w:r>
      <w:bookmarkEnd w:id="47"/>
      <w:bookmarkEnd w:id="48"/>
    </w:p>
    <w:p w14:paraId="74E61C48">
      <w:pPr>
        <w:pStyle w:val="57"/>
      </w:pPr>
      <w:r>
        <w:rPr>
          <w:rFonts w:hint="eastAsia"/>
        </w:rPr>
        <w:t>系统需增加注销功能，同时增强异常退出界面的注销功能，注销退出后及时清除该用户内存里的所有数据。</w:t>
      </w:r>
    </w:p>
    <w:p w14:paraId="3AD7EF9E">
      <w:pPr>
        <w:pStyle w:val="7"/>
        <w:spacing w:before="0" w:after="0" w:line="360" w:lineRule="auto"/>
        <w:rPr>
          <w:rFonts w:hint="eastAsia" w:ascii="宋体" w:hAnsi="宋体" w:eastAsia="宋体"/>
          <w:b w:val="0"/>
          <w:bCs/>
          <w:sz w:val="24"/>
        </w:rPr>
      </w:pPr>
      <w:bookmarkStart w:id="49" w:name="_Toc428874604"/>
      <w:bookmarkStart w:id="50" w:name="_Toc456083923"/>
      <w:r>
        <w:rPr>
          <w:rFonts w:hint="eastAsia" w:ascii="宋体" w:hAnsi="宋体" w:eastAsia="宋体"/>
          <w:b w:val="0"/>
          <w:bCs/>
          <w:sz w:val="24"/>
        </w:rPr>
        <w:t>强口令策略加固</w:t>
      </w:r>
      <w:bookmarkEnd w:id="49"/>
      <w:bookmarkEnd w:id="50"/>
    </w:p>
    <w:p w14:paraId="091044D0">
      <w:pPr>
        <w:pStyle w:val="57"/>
      </w:pPr>
      <w:r>
        <w:rPr>
          <w:rFonts w:hint="eastAsia"/>
        </w:rPr>
        <w:t>用户口令必须具备一定的复杂度，要求长度下限不低于8位，上限不高于20位，必须是字母，数字，特殊字符组合，用户名与口令禁止相同。</w:t>
      </w:r>
    </w:p>
    <w:p w14:paraId="502C8CD2">
      <w:pPr>
        <w:pStyle w:val="7"/>
        <w:spacing w:before="0" w:after="0" w:line="360" w:lineRule="auto"/>
        <w:rPr>
          <w:rFonts w:hint="eastAsia" w:ascii="宋体" w:hAnsi="宋体" w:eastAsia="宋体"/>
          <w:b w:val="0"/>
          <w:bCs/>
          <w:sz w:val="24"/>
        </w:rPr>
      </w:pPr>
      <w:bookmarkStart w:id="51" w:name="_Toc428874605"/>
      <w:bookmarkStart w:id="52" w:name="_Toc456083924"/>
      <w:r>
        <w:rPr>
          <w:rFonts w:hint="eastAsia" w:ascii="宋体" w:hAnsi="宋体" w:eastAsia="宋体"/>
          <w:b w:val="0"/>
          <w:bCs/>
          <w:sz w:val="24"/>
        </w:rPr>
        <w:t>口令时效策略加固</w:t>
      </w:r>
      <w:bookmarkEnd w:id="51"/>
      <w:bookmarkEnd w:id="52"/>
    </w:p>
    <w:p w14:paraId="5823230A">
      <w:pPr>
        <w:pStyle w:val="57"/>
      </w:pPr>
      <w:r>
        <w:rPr>
          <w:rFonts w:hint="eastAsia"/>
        </w:rPr>
        <w:t>用户口令需要设置有效性时间，密码过期用户可以对过期口令进行修改，且新密码不能和原密码相同。</w:t>
      </w:r>
    </w:p>
    <w:p w14:paraId="57040CCD">
      <w:pPr>
        <w:pStyle w:val="7"/>
        <w:spacing w:before="0" w:after="0" w:line="360" w:lineRule="auto"/>
        <w:rPr>
          <w:rFonts w:hint="eastAsia" w:ascii="宋体" w:hAnsi="宋体" w:eastAsia="宋体"/>
          <w:b w:val="0"/>
          <w:bCs/>
          <w:sz w:val="24"/>
        </w:rPr>
      </w:pPr>
      <w:bookmarkStart w:id="53" w:name="_Toc456083925"/>
      <w:bookmarkStart w:id="54" w:name="_Toc428874606"/>
      <w:r>
        <w:rPr>
          <w:rFonts w:hint="eastAsia" w:ascii="宋体" w:hAnsi="宋体" w:eastAsia="宋体"/>
          <w:b w:val="0"/>
          <w:bCs/>
          <w:sz w:val="24"/>
        </w:rPr>
        <w:t>限制连续登录失败次数</w:t>
      </w:r>
      <w:bookmarkEnd w:id="53"/>
      <w:bookmarkEnd w:id="54"/>
    </w:p>
    <w:p w14:paraId="516BE9F7">
      <w:pPr>
        <w:pStyle w:val="57"/>
      </w:pPr>
      <w:r>
        <w:rPr>
          <w:rFonts w:hint="eastAsia"/>
        </w:rPr>
        <w:t>用户在5次连续尝试登录失败后，则锁定该用户账号24小时（可通知管理员解锁）。</w:t>
      </w:r>
    </w:p>
    <w:p w14:paraId="33FB8C3C">
      <w:pPr>
        <w:pStyle w:val="7"/>
        <w:spacing w:before="0" w:after="0" w:line="360" w:lineRule="auto"/>
        <w:rPr>
          <w:rFonts w:hint="eastAsia" w:ascii="宋体" w:hAnsi="宋体" w:eastAsia="宋体"/>
          <w:b w:val="0"/>
          <w:bCs/>
          <w:sz w:val="24"/>
        </w:rPr>
      </w:pPr>
      <w:bookmarkStart w:id="55" w:name="_Toc456083937"/>
      <w:bookmarkStart w:id="56" w:name="_Toc428874618"/>
      <w:r>
        <w:rPr>
          <w:rFonts w:hint="eastAsia" w:ascii="宋体" w:hAnsi="宋体" w:eastAsia="宋体"/>
          <w:b w:val="0"/>
          <w:bCs/>
          <w:sz w:val="24"/>
        </w:rPr>
        <w:t>用户输入输出验证</w:t>
      </w:r>
      <w:bookmarkEnd w:id="55"/>
      <w:bookmarkEnd w:id="56"/>
    </w:p>
    <w:p w14:paraId="543FBC07">
      <w:pPr>
        <w:pStyle w:val="57"/>
      </w:pPr>
      <w:r>
        <w:rPr>
          <w:rFonts w:hint="eastAsia"/>
        </w:rPr>
        <w:t>对用户输入的内容和后台数据页面展示的输入输出必须进行数据类型、长度的验证。</w:t>
      </w:r>
    </w:p>
    <w:p w14:paraId="2C1D3767">
      <w:pPr>
        <w:pStyle w:val="6"/>
        <w:spacing w:before="0" w:after="0" w:line="360" w:lineRule="auto"/>
        <w:rPr>
          <w:rFonts w:hint="eastAsia" w:ascii="宋体" w:hAnsi="宋体" w:eastAsia="宋体"/>
          <w:sz w:val="24"/>
        </w:rPr>
      </w:pPr>
      <w:bookmarkStart w:id="57" w:name="_Toc456083949"/>
      <w:bookmarkStart w:id="58" w:name="_Toc172620011"/>
      <w:bookmarkStart w:id="59" w:name="_Toc175233345"/>
      <w:bookmarkStart w:id="60" w:name="_Toc428874630"/>
      <w:r>
        <w:rPr>
          <w:rFonts w:hint="eastAsia" w:ascii="宋体" w:hAnsi="宋体" w:eastAsia="宋体"/>
          <w:sz w:val="24"/>
        </w:rPr>
        <w:t>数据安全</w:t>
      </w:r>
      <w:bookmarkEnd w:id="57"/>
      <w:bookmarkEnd w:id="58"/>
      <w:bookmarkEnd w:id="59"/>
      <w:bookmarkEnd w:id="60"/>
    </w:p>
    <w:p w14:paraId="77E3429B">
      <w:pPr>
        <w:pStyle w:val="7"/>
        <w:spacing w:before="0" w:after="0" w:line="360" w:lineRule="auto"/>
        <w:rPr>
          <w:rFonts w:hint="eastAsia" w:ascii="宋体" w:hAnsi="宋体" w:eastAsia="宋体"/>
          <w:b w:val="0"/>
          <w:bCs/>
          <w:sz w:val="24"/>
        </w:rPr>
      </w:pPr>
      <w:bookmarkStart w:id="61" w:name="_Toc456083950"/>
      <w:bookmarkStart w:id="62" w:name="_Toc428874631"/>
      <w:r>
        <w:rPr>
          <w:rFonts w:hint="eastAsia" w:ascii="宋体" w:hAnsi="宋体" w:eastAsia="宋体"/>
          <w:b w:val="0"/>
          <w:bCs/>
          <w:sz w:val="24"/>
        </w:rPr>
        <w:t>参数前端加密传输</w:t>
      </w:r>
      <w:bookmarkEnd w:id="61"/>
      <w:bookmarkEnd w:id="62"/>
    </w:p>
    <w:p w14:paraId="647F2C7E">
      <w:pPr>
        <w:pStyle w:val="57"/>
      </w:pPr>
      <w:r>
        <w:rPr>
          <w:rFonts w:hint="eastAsia"/>
        </w:rPr>
        <w:t>将前台所有传递的参数数据，在前段通过SM3单项加密后再通过SM4加密后再传输。统一权限在前端登录界面通过JS进行SM3单向加密,然后通过SM4加密传输，对用户名可进行SM4双向加密，避免在表单传送数据到后台过程中的明文数据被截获。</w:t>
      </w:r>
    </w:p>
    <w:p w14:paraId="7DDAC519">
      <w:pPr>
        <w:pStyle w:val="7"/>
        <w:spacing w:before="0" w:after="0" w:line="360" w:lineRule="auto"/>
        <w:rPr>
          <w:rFonts w:hint="eastAsia" w:ascii="宋体" w:hAnsi="宋体" w:eastAsia="宋体"/>
          <w:b w:val="0"/>
          <w:bCs/>
          <w:sz w:val="24"/>
        </w:rPr>
      </w:pPr>
      <w:bookmarkStart w:id="63" w:name="_Toc428874632"/>
      <w:bookmarkStart w:id="64" w:name="_Toc456083951"/>
      <w:r>
        <w:rPr>
          <w:rFonts w:hint="eastAsia" w:ascii="宋体" w:hAnsi="宋体" w:eastAsia="宋体"/>
          <w:b w:val="0"/>
          <w:bCs/>
          <w:sz w:val="24"/>
        </w:rPr>
        <w:t>URL参数转码加密</w:t>
      </w:r>
      <w:bookmarkEnd w:id="63"/>
      <w:bookmarkEnd w:id="64"/>
    </w:p>
    <w:p w14:paraId="4CC83C6E">
      <w:pPr>
        <w:pStyle w:val="57"/>
      </w:pPr>
      <w:r>
        <w:rPr>
          <w:rFonts w:hint="eastAsia"/>
        </w:rPr>
        <w:t>所有重要逻辑的URL参数需要通过转码，如转码BASE64方式，避免获取参数的明文信息，同时设定一定规则避免参数被拦截，系统平台定义通用方法，对参数串进行规则处理，参数串长度加上报文长度放在参数串尾部，后台根据约定好的逻辑来分析参数是否为原始参数。</w:t>
      </w:r>
    </w:p>
    <w:p w14:paraId="38C3149D">
      <w:pPr>
        <w:pStyle w:val="7"/>
        <w:spacing w:before="0" w:after="0" w:line="360" w:lineRule="auto"/>
        <w:rPr>
          <w:rFonts w:hint="eastAsia" w:ascii="宋体" w:hAnsi="宋体" w:eastAsia="宋体"/>
          <w:b w:val="0"/>
          <w:bCs/>
          <w:sz w:val="24"/>
        </w:rPr>
      </w:pPr>
      <w:bookmarkStart w:id="65" w:name="_Toc29227"/>
      <w:r>
        <w:rPr>
          <w:rFonts w:hint="eastAsia" w:ascii="宋体" w:hAnsi="宋体" w:eastAsia="宋体"/>
          <w:b w:val="0"/>
          <w:bCs/>
          <w:sz w:val="24"/>
        </w:rPr>
        <w:t>灾难备份中心</w:t>
      </w:r>
      <w:bookmarkEnd w:id="65"/>
    </w:p>
    <w:p w14:paraId="2EFA9DE8">
      <w:pPr>
        <w:pStyle w:val="57"/>
      </w:pPr>
      <w:r>
        <w:rPr>
          <w:rFonts w:hint="eastAsia"/>
        </w:rPr>
        <w:t>灾难备份系统由管理系统运行的后备运行系统、数据备份系统、终端用户切换到备份系统的备用通讯线路等部分组成。</w:t>
      </w:r>
    </w:p>
    <w:p w14:paraId="5F88A313">
      <w:pPr>
        <w:pStyle w:val="57"/>
      </w:pPr>
      <w:r>
        <w:rPr>
          <w:rFonts w:hint="eastAsia"/>
        </w:rPr>
        <w:t>在正常运行和数据备份状态下，系统通过网络传输方法向备份系统传送需备份的各种数据。</w:t>
      </w:r>
    </w:p>
    <w:p w14:paraId="17E4E8EC">
      <w:pPr>
        <w:pStyle w:val="57"/>
      </w:pPr>
      <w:r>
        <w:rPr>
          <w:rFonts w:hint="eastAsia"/>
        </w:rPr>
        <w:t>灾难发生后，备份系统将接替系统继续运行，备份中心、物联网设备之间的关系如下图所示。此时重要终端用户将从系统主机切换到备份中心主机，继续对外服务。</w:t>
      </w:r>
    </w:p>
    <w:p w14:paraId="43C8511E">
      <w:pPr>
        <w:spacing w:line="360" w:lineRule="auto"/>
        <w:ind w:firstLine="480" w:firstLineChars="200"/>
        <w:rPr>
          <w:rFonts w:hint="eastAsia" w:ascii="宋体" w:hAnsi="宋体" w:eastAsia="宋体"/>
          <w:sz w:val="24"/>
        </w:rPr>
      </w:pPr>
      <w:r>
        <w:rPr>
          <w:rFonts w:hint="eastAsia" w:ascii="宋体" w:hAnsi="宋体" w:eastAsia="宋体"/>
          <w:sz w:val="24"/>
        </w:rPr>
        <w:t>由于存在着各种制约条件，要确定一个理想的灾难备份与恢复策略是非常困难的，必须综合考虑各方面的因素。因此，灾难备份规划的制定应遵守以下基本原则。</w:t>
      </w:r>
    </w:p>
    <w:p w14:paraId="76DCCC41">
      <w:pPr>
        <w:numPr>
          <w:ilvl w:val="0"/>
          <w:numId w:val="8"/>
        </w:numPr>
        <w:spacing w:line="360" w:lineRule="auto"/>
        <w:ind w:left="0" w:firstLine="480" w:firstLineChars="200"/>
        <w:rPr>
          <w:rFonts w:hint="eastAsia" w:ascii="宋体" w:hAnsi="宋体" w:eastAsia="宋体"/>
          <w:sz w:val="24"/>
        </w:rPr>
      </w:pPr>
      <w:r>
        <w:rPr>
          <w:rFonts w:hint="eastAsia" w:ascii="宋体" w:hAnsi="宋体" w:eastAsia="宋体"/>
          <w:sz w:val="24"/>
        </w:rPr>
        <w:t>侧重于保护业务数据安全</w:t>
      </w:r>
    </w:p>
    <w:p w14:paraId="0F94CA15">
      <w:pPr>
        <w:spacing w:line="360" w:lineRule="auto"/>
        <w:ind w:firstLine="480" w:firstLineChars="200"/>
        <w:rPr>
          <w:rFonts w:hint="eastAsia" w:ascii="宋体" w:hAnsi="宋体" w:eastAsia="宋体"/>
          <w:sz w:val="24"/>
        </w:rPr>
      </w:pPr>
      <w:r>
        <w:rPr>
          <w:rFonts w:hint="eastAsia" w:ascii="宋体" w:hAnsi="宋体" w:eastAsia="宋体"/>
          <w:sz w:val="24"/>
        </w:rPr>
        <w:t>灾难备份的目标有两个，一是保护数据的完整性，尽量减少业务数据丢失， 最好没有业务数据丢失，从而减少业务风险。二是快速恢复服务，使业务停顿时间最短。</w:t>
      </w:r>
    </w:p>
    <w:p w14:paraId="5A1953D4">
      <w:pPr>
        <w:spacing w:line="360" w:lineRule="auto"/>
        <w:ind w:firstLine="480" w:firstLineChars="200"/>
        <w:rPr>
          <w:rFonts w:hint="eastAsia" w:ascii="宋体" w:hAnsi="宋体" w:eastAsia="宋体"/>
          <w:sz w:val="24"/>
        </w:rPr>
      </w:pPr>
      <w:r>
        <w:rPr>
          <w:rFonts w:hint="eastAsia" w:ascii="宋体" w:hAnsi="宋体" w:eastAsia="宋体"/>
          <w:sz w:val="24"/>
        </w:rPr>
        <w:t>要实现保证业务连续性的目标，资金投入要比保护数据完整性的目标大得多， 而“数据是单位的生命线”，因此在制定灾难备份策略时应侧重于保护业务数据 安全，将确保数据安全作为灾难备份的首要目标。</w:t>
      </w:r>
    </w:p>
    <w:p w14:paraId="18B1E1CE">
      <w:pPr>
        <w:numPr>
          <w:ilvl w:val="0"/>
          <w:numId w:val="8"/>
        </w:numPr>
        <w:spacing w:line="360" w:lineRule="auto"/>
        <w:ind w:left="0" w:firstLine="480" w:firstLineChars="200"/>
        <w:rPr>
          <w:rFonts w:hint="eastAsia" w:ascii="宋体" w:hAnsi="宋体" w:eastAsia="宋体"/>
          <w:sz w:val="24"/>
        </w:rPr>
      </w:pPr>
      <w:r>
        <w:rPr>
          <w:rFonts w:hint="eastAsia" w:ascii="宋体" w:hAnsi="宋体" w:eastAsia="宋体"/>
          <w:sz w:val="24"/>
        </w:rPr>
        <w:t>充分利用已有资源</w:t>
      </w:r>
    </w:p>
    <w:p w14:paraId="7B3063FD">
      <w:pPr>
        <w:spacing w:line="360" w:lineRule="auto"/>
        <w:ind w:firstLine="480" w:firstLineChars="200"/>
        <w:rPr>
          <w:rFonts w:hint="eastAsia" w:ascii="宋体" w:hAnsi="宋体" w:eastAsia="宋体"/>
          <w:sz w:val="24"/>
        </w:rPr>
      </w:pPr>
      <w:r>
        <w:rPr>
          <w:rFonts w:hint="eastAsia" w:ascii="宋体" w:hAnsi="宋体" w:eastAsia="宋体"/>
          <w:sz w:val="24"/>
        </w:rPr>
        <w:t>要充分利用已有的机器设备、机房等资源。尽可能少投入新增设备购买资金。如要投资，也要与其他的工作项目一起综合利用资源的使用，如软件测试、新技术实验等。</w:t>
      </w:r>
    </w:p>
    <w:p w14:paraId="0A78DE0B">
      <w:pPr>
        <w:pStyle w:val="6"/>
        <w:spacing w:before="0" w:after="0" w:line="360" w:lineRule="auto"/>
        <w:rPr>
          <w:rFonts w:hint="eastAsia" w:ascii="宋体" w:hAnsi="宋体" w:eastAsia="宋体"/>
          <w:sz w:val="24"/>
        </w:rPr>
      </w:pPr>
      <w:bookmarkStart w:id="66" w:name="_Toc165909215"/>
      <w:bookmarkStart w:id="67" w:name="_Toc17197"/>
      <w:bookmarkStart w:id="68" w:name="_Toc8382084"/>
      <w:bookmarkStart w:id="69" w:name="_Toc456098234"/>
      <w:bookmarkStart w:id="70" w:name="_Toc8380889"/>
      <w:bookmarkStart w:id="71" w:name="_Toc8391094"/>
      <w:bookmarkStart w:id="72" w:name="_Toc175233346"/>
      <w:bookmarkStart w:id="73" w:name="_Toc172620013"/>
      <w:r>
        <w:rPr>
          <w:rFonts w:hint="eastAsia" w:ascii="宋体" w:hAnsi="宋体" w:eastAsia="宋体"/>
          <w:sz w:val="24"/>
        </w:rPr>
        <w:t>网络</w:t>
      </w:r>
      <w:bookmarkEnd w:id="66"/>
      <w:bookmarkEnd w:id="67"/>
      <w:bookmarkEnd w:id="68"/>
      <w:bookmarkEnd w:id="69"/>
      <w:bookmarkEnd w:id="70"/>
      <w:bookmarkEnd w:id="71"/>
      <w:r>
        <w:rPr>
          <w:rFonts w:hint="eastAsia" w:ascii="宋体" w:hAnsi="宋体" w:eastAsia="宋体"/>
          <w:sz w:val="24"/>
        </w:rPr>
        <w:t>建设和部署需求</w:t>
      </w:r>
      <w:bookmarkEnd w:id="72"/>
      <w:bookmarkEnd w:id="73"/>
    </w:p>
    <w:p w14:paraId="59EB0CA8">
      <w:pPr>
        <w:pStyle w:val="7"/>
        <w:spacing w:before="0" w:after="0" w:line="360" w:lineRule="auto"/>
        <w:rPr>
          <w:rFonts w:hint="eastAsia" w:ascii="宋体" w:hAnsi="宋体" w:eastAsia="宋体"/>
          <w:b w:val="0"/>
          <w:bCs/>
          <w:sz w:val="24"/>
        </w:rPr>
      </w:pPr>
      <w:r>
        <w:rPr>
          <w:rFonts w:hint="eastAsia" w:ascii="宋体" w:hAnsi="宋体" w:eastAsia="宋体"/>
          <w:b w:val="0"/>
          <w:bCs/>
          <w:sz w:val="24"/>
        </w:rPr>
        <w:t>外部网络安全需求</w:t>
      </w:r>
    </w:p>
    <w:p w14:paraId="29517FDF">
      <w:pPr>
        <w:pStyle w:val="57"/>
      </w:pPr>
      <w:r>
        <w:rPr>
          <w:rFonts w:hint="eastAsia"/>
        </w:rPr>
        <w:t>存在各种各样不可预知的风险，网络入侵者可以通过多种方式攻击内部网络。因此，有必要将对外信息发布服务器部署在政务外网并和内部其它业务网络进行必要的隔离，避免网络信息外泄，使得攻击者无从下手，同时还要对网络通讯进行有效的过滤，使必要的服务请求到达主机，对不必要的访问请求加以拒绝。</w:t>
      </w:r>
    </w:p>
    <w:p w14:paraId="36A344A3">
      <w:pPr>
        <w:pStyle w:val="7"/>
        <w:spacing w:before="0" w:after="0" w:line="360" w:lineRule="auto"/>
        <w:rPr>
          <w:rFonts w:hint="eastAsia" w:ascii="宋体" w:hAnsi="宋体" w:eastAsia="宋体"/>
          <w:b w:val="0"/>
          <w:bCs/>
          <w:sz w:val="24"/>
        </w:rPr>
      </w:pPr>
      <w:r>
        <w:rPr>
          <w:rFonts w:hint="eastAsia" w:ascii="宋体" w:hAnsi="宋体" w:eastAsia="宋体"/>
          <w:b w:val="0"/>
          <w:bCs/>
          <w:sz w:val="24"/>
        </w:rPr>
        <w:t>内部网络安全需求</w:t>
      </w:r>
    </w:p>
    <w:p w14:paraId="308CE4A7">
      <w:pPr>
        <w:pStyle w:val="57"/>
      </w:pPr>
      <w:r>
        <w:rPr>
          <w:rFonts w:hint="eastAsia"/>
        </w:rPr>
        <w:t>需要对网络的运行状况实施有效监控，及时发现潜在的计算机病毒威胁，避免由于办公地点、人员、设备的变化，使得网络结构变化无法控制，同时需了解网络的漏洞和可能发生的攻击，建立对于己经或正在发生的攻击进行有效的追查方法。</w:t>
      </w:r>
    </w:p>
    <w:p w14:paraId="282CA06E">
      <w:pPr>
        <w:pStyle w:val="7"/>
        <w:spacing w:before="0" w:after="0" w:line="360" w:lineRule="auto"/>
        <w:rPr>
          <w:rFonts w:hint="eastAsia" w:ascii="宋体" w:hAnsi="宋体" w:eastAsia="宋体"/>
          <w:b w:val="0"/>
          <w:bCs/>
          <w:sz w:val="24"/>
        </w:rPr>
      </w:pPr>
      <w:r>
        <w:rPr>
          <w:rFonts w:hint="eastAsia" w:ascii="宋体" w:hAnsi="宋体" w:eastAsia="宋体"/>
          <w:b w:val="0"/>
          <w:bCs/>
          <w:sz w:val="24"/>
        </w:rPr>
        <w:t>严格限制防火墙端口开放</w:t>
      </w:r>
    </w:p>
    <w:p w14:paraId="5313538F">
      <w:pPr>
        <w:pStyle w:val="57"/>
      </w:pPr>
      <w:r>
        <w:rPr>
          <w:rFonts w:hint="eastAsia"/>
        </w:rPr>
        <w:t>网络架构基于“政务外网网络架构”，对于防火墙相关访问策略要严格控制开放端口，并且在防火墙记录相关日志，防止DDOS等攻击。</w:t>
      </w:r>
    </w:p>
    <w:p w14:paraId="27796640">
      <w:pPr>
        <w:pStyle w:val="7"/>
        <w:spacing w:before="0" w:after="0" w:line="360" w:lineRule="auto"/>
        <w:rPr>
          <w:rFonts w:hint="eastAsia" w:ascii="宋体" w:hAnsi="宋体" w:eastAsia="宋体"/>
          <w:b w:val="0"/>
          <w:bCs/>
          <w:sz w:val="24"/>
        </w:rPr>
      </w:pPr>
      <w:bookmarkStart w:id="74" w:name="_Toc428874625"/>
      <w:bookmarkStart w:id="75" w:name="_Toc456083944"/>
      <w:r>
        <w:rPr>
          <w:rFonts w:hint="eastAsia" w:ascii="宋体" w:hAnsi="宋体" w:eastAsia="宋体"/>
          <w:b w:val="0"/>
          <w:bCs/>
          <w:sz w:val="24"/>
        </w:rPr>
        <w:t>有限开放服务器IP端口</w:t>
      </w:r>
      <w:bookmarkEnd w:id="74"/>
      <w:bookmarkEnd w:id="75"/>
    </w:p>
    <w:p w14:paraId="77545BCB">
      <w:pPr>
        <w:pStyle w:val="57"/>
      </w:pPr>
      <w:r>
        <w:rPr>
          <w:rFonts w:hint="eastAsia"/>
        </w:rPr>
        <w:t>需配置防火墙策略时，不直接开放网段，指定交互IP，并且配置MAC地址映射，避免无交互的服务器之间通讯。</w:t>
      </w:r>
    </w:p>
    <w:p w14:paraId="7A5283F0">
      <w:pPr>
        <w:pStyle w:val="7"/>
        <w:spacing w:before="0" w:after="0" w:line="360" w:lineRule="auto"/>
        <w:rPr>
          <w:rFonts w:hint="eastAsia" w:ascii="宋体" w:hAnsi="宋体" w:eastAsia="宋体"/>
          <w:b w:val="0"/>
          <w:bCs/>
          <w:sz w:val="24"/>
        </w:rPr>
      </w:pPr>
      <w:bookmarkStart w:id="76" w:name="_Toc456083908"/>
      <w:bookmarkStart w:id="77" w:name="_Toc428874589"/>
      <w:bookmarkStart w:id="78" w:name="_Toc165909216"/>
      <w:bookmarkStart w:id="79" w:name="_Toc8380890"/>
      <w:bookmarkStart w:id="80" w:name="_Toc456098235"/>
      <w:bookmarkStart w:id="81" w:name="_Toc8382085"/>
      <w:bookmarkStart w:id="82" w:name="_Toc28238"/>
      <w:bookmarkStart w:id="83" w:name="_Toc8391095"/>
      <w:r>
        <w:rPr>
          <w:rFonts w:hint="eastAsia" w:ascii="宋体" w:hAnsi="宋体" w:eastAsia="宋体"/>
          <w:b w:val="0"/>
          <w:bCs/>
          <w:sz w:val="24"/>
        </w:rPr>
        <w:t>系统逻辑部署</w:t>
      </w:r>
      <w:bookmarkEnd w:id="76"/>
      <w:bookmarkEnd w:id="77"/>
    </w:p>
    <w:p w14:paraId="4A9C7E81">
      <w:pPr>
        <w:pStyle w:val="17"/>
        <w:spacing w:after="0" w:line="360" w:lineRule="auto"/>
        <w:ind w:left="0" w:leftChars="0" w:firstLine="480" w:firstLineChars="200"/>
        <w:rPr>
          <w:rFonts w:hint="eastAsia" w:ascii="宋体" w:hAnsi="宋体" w:eastAsia="宋体"/>
          <w:sz w:val="24"/>
        </w:rPr>
      </w:pPr>
      <w:r>
        <w:rPr>
          <w:rFonts w:hint="eastAsia" w:ascii="宋体" w:hAnsi="宋体" w:eastAsia="宋体"/>
          <w:sz w:val="24"/>
        </w:rPr>
        <w:t>1.系统包括接口服务、后台管理系统、大屏数据服务和统一权限，网络策略为单向从外向内访问；</w:t>
      </w:r>
    </w:p>
    <w:p w14:paraId="70ADFF7D">
      <w:pPr>
        <w:pStyle w:val="17"/>
        <w:spacing w:after="0" w:line="360" w:lineRule="auto"/>
        <w:ind w:left="0" w:leftChars="0" w:firstLine="480" w:firstLineChars="200"/>
        <w:rPr>
          <w:rFonts w:hint="eastAsia" w:ascii="宋体" w:hAnsi="宋体" w:eastAsia="宋体"/>
          <w:sz w:val="24"/>
        </w:rPr>
      </w:pPr>
      <w:r>
        <w:rPr>
          <w:rFonts w:hint="eastAsia" w:ascii="宋体" w:hAnsi="宋体" w:eastAsia="宋体"/>
          <w:sz w:val="24"/>
        </w:rPr>
        <w:t>2. 外部服务：平板应用、PC访问、大屏对图片则直接通过外部云下载观看，也可以通过前置服务器访问外部服务；</w:t>
      </w:r>
    </w:p>
    <w:p w14:paraId="5E2F5C70">
      <w:pPr>
        <w:pStyle w:val="17"/>
        <w:spacing w:after="0" w:line="360" w:lineRule="auto"/>
        <w:ind w:left="0" w:leftChars="0" w:firstLine="480" w:firstLineChars="200"/>
        <w:rPr>
          <w:rFonts w:hint="eastAsia" w:ascii="宋体" w:hAnsi="宋体" w:eastAsia="宋体"/>
          <w:sz w:val="24"/>
        </w:rPr>
      </w:pPr>
      <w:r>
        <w:rPr>
          <w:rFonts w:hint="eastAsia" w:ascii="宋体" w:hAnsi="宋体" w:eastAsia="宋体"/>
          <w:sz w:val="24"/>
        </w:rPr>
        <w:t>3. 应用服务器区应用服务通过二级防火墙单向访问位于数据安全区的数据库服务器。</w:t>
      </w:r>
    </w:p>
    <w:p w14:paraId="59FA229B">
      <w:pPr>
        <w:pStyle w:val="7"/>
        <w:spacing w:before="0" w:after="0" w:line="360" w:lineRule="auto"/>
        <w:rPr>
          <w:rFonts w:hint="eastAsia" w:ascii="宋体" w:hAnsi="宋体" w:eastAsia="宋体"/>
          <w:b w:val="0"/>
          <w:bCs/>
          <w:sz w:val="24"/>
        </w:rPr>
      </w:pPr>
      <w:bookmarkStart w:id="84" w:name="_Toc428874590"/>
      <w:bookmarkStart w:id="85" w:name="_Toc456083909"/>
      <w:r>
        <w:rPr>
          <w:rFonts w:hint="eastAsia" w:ascii="宋体" w:hAnsi="宋体" w:eastAsia="宋体"/>
          <w:b w:val="0"/>
          <w:bCs/>
          <w:sz w:val="24"/>
        </w:rPr>
        <w:t>系统物理部署</w:t>
      </w:r>
      <w:bookmarkEnd w:id="84"/>
      <w:bookmarkEnd w:id="85"/>
    </w:p>
    <w:p w14:paraId="6C0E800E">
      <w:pPr>
        <w:pStyle w:val="17"/>
        <w:spacing w:after="0" w:line="360" w:lineRule="auto"/>
        <w:ind w:left="0" w:leftChars="0" w:firstLine="480" w:firstLineChars="200"/>
        <w:rPr>
          <w:rFonts w:hint="eastAsia" w:ascii="宋体" w:hAnsi="宋体" w:eastAsia="宋体"/>
          <w:sz w:val="24"/>
        </w:rPr>
      </w:pPr>
      <w:r>
        <w:rPr>
          <w:rFonts w:hint="eastAsia" w:ascii="宋体" w:hAnsi="宋体" w:eastAsia="宋体"/>
          <w:sz w:val="24"/>
        </w:rPr>
        <w:t>1.系统包括接口服务、后台管理系统、大屏数据服务和统一权限，网络策略为单向从外向内访问；</w:t>
      </w:r>
    </w:p>
    <w:p w14:paraId="03537A92">
      <w:pPr>
        <w:pStyle w:val="17"/>
        <w:spacing w:after="0" w:line="360" w:lineRule="auto"/>
        <w:ind w:left="0" w:leftChars="0" w:firstLine="480" w:firstLineChars="200"/>
        <w:rPr>
          <w:rFonts w:hint="eastAsia" w:ascii="宋体" w:hAnsi="宋体" w:eastAsia="宋体"/>
          <w:sz w:val="24"/>
        </w:rPr>
      </w:pPr>
      <w:r>
        <w:rPr>
          <w:rFonts w:hint="eastAsia" w:ascii="宋体" w:hAnsi="宋体" w:eastAsia="宋体"/>
          <w:sz w:val="24"/>
        </w:rPr>
        <w:t>2. 外部服务：手机应用、PC访问、大屏对图片则直接通过外部云下载观看，也可以通过前置服务器访问外部服务；</w:t>
      </w:r>
    </w:p>
    <w:p w14:paraId="3491F2A7">
      <w:pPr>
        <w:pStyle w:val="17"/>
        <w:spacing w:after="0" w:line="360" w:lineRule="auto"/>
        <w:ind w:left="0" w:leftChars="0" w:firstLine="480" w:firstLineChars="200"/>
        <w:rPr>
          <w:rFonts w:hint="eastAsia" w:ascii="宋体" w:hAnsi="宋体" w:eastAsia="宋体"/>
          <w:sz w:val="24"/>
        </w:rPr>
      </w:pPr>
      <w:r>
        <w:rPr>
          <w:rFonts w:hint="eastAsia" w:ascii="宋体" w:hAnsi="宋体" w:eastAsia="宋体"/>
          <w:sz w:val="24"/>
        </w:rPr>
        <w:t>3. 应用服务器区应用服务通过二级防火墙单向访问位于数据安全区的数据库服务器；</w:t>
      </w:r>
    </w:p>
    <w:bookmarkEnd w:id="78"/>
    <w:bookmarkEnd w:id="79"/>
    <w:bookmarkEnd w:id="80"/>
    <w:bookmarkEnd w:id="81"/>
    <w:bookmarkEnd w:id="82"/>
    <w:bookmarkEnd w:id="83"/>
    <w:p w14:paraId="5E16D2AD">
      <w:pPr>
        <w:pStyle w:val="3"/>
        <w:spacing w:before="0" w:after="0" w:line="360" w:lineRule="auto"/>
        <w:rPr>
          <w:rFonts w:hint="eastAsia" w:ascii="宋体" w:hAnsi="宋体" w:eastAsia="宋体"/>
          <w:sz w:val="28"/>
          <w:szCs w:val="28"/>
        </w:rPr>
      </w:pPr>
      <w:bookmarkStart w:id="86" w:name="_Toc172620017"/>
      <w:bookmarkStart w:id="87" w:name="_Toc175233347"/>
      <w:r>
        <w:rPr>
          <w:rFonts w:hint="eastAsia" w:ascii="宋体" w:hAnsi="宋体" w:eastAsia="宋体"/>
          <w:sz w:val="28"/>
          <w:szCs w:val="28"/>
        </w:rPr>
        <w:t>性能需求</w:t>
      </w:r>
      <w:bookmarkEnd w:id="32"/>
      <w:bookmarkEnd w:id="33"/>
      <w:bookmarkEnd w:id="34"/>
      <w:r>
        <w:rPr>
          <w:rFonts w:hint="eastAsia" w:ascii="宋体" w:hAnsi="宋体" w:eastAsia="宋体"/>
          <w:sz w:val="28"/>
          <w:szCs w:val="28"/>
        </w:rPr>
        <w:t>分析</w:t>
      </w:r>
      <w:bookmarkEnd w:id="35"/>
      <w:bookmarkEnd w:id="86"/>
      <w:bookmarkEnd w:id="87"/>
    </w:p>
    <w:p w14:paraId="2C9D17CE">
      <w:pPr>
        <w:pStyle w:val="57"/>
      </w:pPr>
      <w:r>
        <w:rPr>
          <w:rFonts w:hint="eastAsia"/>
        </w:rPr>
        <w:t>本项目建设的系统的性能指标包括性能指标需求、可靠性指标、可扩展性需求、灵活性等。</w:t>
      </w:r>
    </w:p>
    <w:p w14:paraId="21A71553">
      <w:pPr>
        <w:pStyle w:val="6"/>
        <w:spacing w:before="0" w:after="0" w:line="360" w:lineRule="auto"/>
        <w:rPr>
          <w:rFonts w:hint="eastAsia" w:ascii="宋体" w:hAnsi="宋体" w:eastAsia="宋体"/>
          <w:sz w:val="24"/>
        </w:rPr>
      </w:pPr>
      <w:bookmarkStart w:id="88" w:name="_Toc172620018"/>
      <w:bookmarkStart w:id="89" w:name="_Toc8391085"/>
      <w:bookmarkStart w:id="90" w:name="_Toc165909206"/>
      <w:bookmarkStart w:id="91" w:name="_Toc4619"/>
      <w:bookmarkStart w:id="92" w:name="_Toc485303264"/>
      <w:bookmarkStart w:id="93" w:name="_Toc8380880"/>
      <w:bookmarkStart w:id="94" w:name="_Toc175233348"/>
      <w:bookmarkStart w:id="95" w:name="_Toc8382075"/>
      <w:r>
        <w:rPr>
          <w:rFonts w:hint="eastAsia" w:ascii="宋体" w:hAnsi="宋体" w:eastAsia="宋体"/>
          <w:sz w:val="24"/>
        </w:rPr>
        <w:t>性能指标需求</w:t>
      </w:r>
      <w:bookmarkEnd w:id="88"/>
      <w:bookmarkEnd w:id="89"/>
      <w:bookmarkEnd w:id="90"/>
      <w:bookmarkEnd w:id="91"/>
      <w:bookmarkEnd w:id="92"/>
      <w:bookmarkEnd w:id="93"/>
      <w:bookmarkEnd w:id="94"/>
      <w:bookmarkEnd w:id="95"/>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65"/>
        <w:gridCol w:w="4912"/>
        <w:gridCol w:w="1739"/>
      </w:tblGrid>
      <w:tr w14:paraId="68987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1095" w:type="pct"/>
            <w:tcBorders>
              <w:top w:val="single" w:color="auto" w:sz="4" w:space="0"/>
              <w:left w:val="single" w:color="auto" w:sz="4" w:space="0"/>
              <w:bottom w:val="single" w:color="auto" w:sz="4" w:space="0"/>
              <w:right w:val="single" w:color="auto" w:sz="4" w:space="0"/>
            </w:tcBorders>
            <w:vAlign w:val="center"/>
          </w:tcPr>
          <w:p w14:paraId="21E9E2AD">
            <w:pPr>
              <w:spacing w:line="360" w:lineRule="auto"/>
              <w:jc w:val="center"/>
              <w:rPr>
                <w:rFonts w:hint="eastAsia" w:ascii="宋体" w:hAnsi="宋体" w:eastAsia="宋体"/>
                <w:b/>
                <w:bCs/>
                <w:sz w:val="21"/>
                <w:szCs w:val="21"/>
              </w:rPr>
            </w:pPr>
            <w:bookmarkStart w:id="96" w:name="_Toc8391086"/>
            <w:bookmarkStart w:id="97" w:name="_Toc8382076"/>
            <w:bookmarkStart w:id="98" w:name="_Toc8380881"/>
            <w:bookmarkStart w:id="99" w:name="_Toc6999"/>
            <w:bookmarkStart w:id="100" w:name="_Toc485303265"/>
            <w:r>
              <w:rPr>
                <w:rFonts w:hint="eastAsia" w:ascii="宋体" w:hAnsi="宋体" w:eastAsia="宋体"/>
                <w:b/>
                <w:bCs/>
                <w:sz w:val="21"/>
                <w:szCs w:val="21"/>
              </w:rPr>
              <w:t>性能参数</w:t>
            </w:r>
          </w:p>
        </w:tc>
        <w:tc>
          <w:tcPr>
            <w:tcW w:w="2884" w:type="pct"/>
            <w:tcBorders>
              <w:top w:val="single" w:color="auto" w:sz="4" w:space="0"/>
              <w:left w:val="single" w:color="auto" w:sz="4" w:space="0"/>
              <w:bottom w:val="single" w:color="auto" w:sz="4" w:space="0"/>
              <w:right w:val="single" w:color="auto" w:sz="4" w:space="0"/>
            </w:tcBorders>
            <w:vAlign w:val="center"/>
          </w:tcPr>
          <w:p w14:paraId="24A9D24D">
            <w:pPr>
              <w:spacing w:line="360" w:lineRule="auto"/>
              <w:jc w:val="center"/>
              <w:rPr>
                <w:rFonts w:hint="eastAsia" w:ascii="宋体" w:hAnsi="宋体" w:eastAsia="宋体"/>
                <w:b/>
                <w:bCs/>
                <w:sz w:val="21"/>
                <w:szCs w:val="21"/>
              </w:rPr>
            </w:pPr>
            <w:r>
              <w:rPr>
                <w:rFonts w:hint="eastAsia" w:ascii="宋体" w:hAnsi="宋体" w:eastAsia="宋体"/>
                <w:b/>
                <w:bCs/>
                <w:sz w:val="21"/>
                <w:szCs w:val="21"/>
              </w:rPr>
              <w:t>指标要求</w:t>
            </w:r>
          </w:p>
        </w:tc>
        <w:tc>
          <w:tcPr>
            <w:tcW w:w="1021" w:type="pct"/>
            <w:tcBorders>
              <w:top w:val="single" w:color="auto" w:sz="4" w:space="0"/>
              <w:left w:val="single" w:color="auto" w:sz="4" w:space="0"/>
              <w:bottom w:val="single" w:color="auto" w:sz="4" w:space="0"/>
              <w:right w:val="single" w:color="auto" w:sz="4" w:space="0"/>
            </w:tcBorders>
            <w:vAlign w:val="center"/>
          </w:tcPr>
          <w:p w14:paraId="21F5AA71">
            <w:pPr>
              <w:spacing w:line="360" w:lineRule="auto"/>
              <w:jc w:val="center"/>
              <w:rPr>
                <w:rFonts w:hint="eastAsia" w:ascii="宋体" w:hAnsi="宋体" w:eastAsia="宋体"/>
                <w:b/>
                <w:bCs/>
                <w:sz w:val="21"/>
                <w:szCs w:val="21"/>
              </w:rPr>
            </w:pPr>
            <w:r>
              <w:rPr>
                <w:rFonts w:hint="eastAsia" w:ascii="宋体" w:hAnsi="宋体" w:eastAsia="宋体"/>
                <w:b/>
                <w:bCs/>
                <w:sz w:val="21"/>
                <w:szCs w:val="21"/>
              </w:rPr>
              <w:t>备注</w:t>
            </w:r>
          </w:p>
        </w:tc>
      </w:tr>
      <w:tr w14:paraId="69302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4" w:hRule="atLeast"/>
        </w:trPr>
        <w:tc>
          <w:tcPr>
            <w:tcW w:w="1095" w:type="pct"/>
            <w:tcBorders>
              <w:top w:val="single" w:color="auto" w:sz="4" w:space="0"/>
              <w:left w:val="single" w:color="auto" w:sz="4" w:space="0"/>
              <w:bottom w:val="single" w:color="auto" w:sz="4" w:space="0"/>
              <w:right w:val="single" w:color="auto" w:sz="4" w:space="0"/>
            </w:tcBorders>
            <w:vAlign w:val="center"/>
          </w:tcPr>
          <w:p w14:paraId="3CDBF81B">
            <w:pPr>
              <w:spacing w:line="360" w:lineRule="auto"/>
              <w:jc w:val="center"/>
              <w:rPr>
                <w:rFonts w:hint="eastAsia" w:ascii="宋体" w:hAnsi="宋体" w:eastAsia="宋体"/>
                <w:sz w:val="21"/>
                <w:szCs w:val="21"/>
              </w:rPr>
            </w:pPr>
            <w:r>
              <w:rPr>
                <w:rFonts w:hint="eastAsia" w:ascii="宋体" w:hAnsi="宋体" w:eastAsia="宋体"/>
                <w:sz w:val="21"/>
                <w:szCs w:val="21"/>
              </w:rPr>
              <w:t>响应时间</w:t>
            </w:r>
          </w:p>
        </w:tc>
        <w:tc>
          <w:tcPr>
            <w:tcW w:w="2884" w:type="pct"/>
            <w:tcBorders>
              <w:top w:val="single" w:color="auto" w:sz="4" w:space="0"/>
              <w:left w:val="single" w:color="auto" w:sz="4" w:space="0"/>
              <w:bottom w:val="single" w:color="auto" w:sz="4" w:space="0"/>
              <w:right w:val="single" w:color="auto" w:sz="4" w:space="0"/>
            </w:tcBorders>
            <w:vAlign w:val="center"/>
          </w:tcPr>
          <w:p w14:paraId="5DCA0789">
            <w:pPr>
              <w:spacing w:line="360" w:lineRule="auto"/>
              <w:rPr>
                <w:rFonts w:hint="eastAsia" w:ascii="宋体" w:hAnsi="宋体" w:eastAsia="宋体"/>
                <w:sz w:val="21"/>
                <w:szCs w:val="21"/>
              </w:rPr>
            </w:pPr>
            <w:r>
              <w:rPr>
                <w:rFonts w:hint="eastAsia" w:ascii="宋体" w:hAnsi="宋体" w:eastAsia="宋体"/>
                <w:sz w:val="21"/>
                <w:szCs w:val="21"/>
              </w:rPr>
              <w:t>数据资源注册响应时间≤3秒</w:t>
            </w:r>
          </w:p>
          <w:p w14:paraId="2A9009E8">
            <w:pPr>
              <w:spacing w:line="360" w:lineRule="auto"/>
              <w:rPr>
                <w:rFonts w:hint="eastAsia" w:ascii="宋体" w:hAnsi="宋体" w:eastAsia="宋体"/>
                <w:sz w:val="21"/>
                <w:szCs w:val="21"/>
              </w:rPr>
            </w:pPr>
            <w:r>
              <w:rPr>
                <w:rFonts w:hint="eastAsia" w:ascii="宋体" w:hAnsi="宋体" w:eastAsia="宋体"/>
                <w:sz w:val="21"/>
                <w:szCs w:val="21"/>
              </w:rPr>
              <w:t>认证平均响应时间≤3秒</w:t>
            </w:r>
          </w:p>
          <w:p w14:paraId="72D8DBC6">
            <w:pPr>
              <w:spacing w:line="360" w:lineRule="auto"/>
              <w:rPr>
                <w:rFonts w:hint="eastAsia" w:ascii="宋体" w:hAnsi="宋体" w:eastAsia="宋体"/>
                <w:sz w:val="21"/>
                <w:szCs w:val="21"/>
              </w:rPr>
            </w:pPr>
            <w:r>
              <w:rPr>
                <w:rFonts w:hint="eastAsia" w:ascii="宋体" w:hAnsi="宋体" w:eastAsia="宋体"/>
                <w:sz w:val="21"/>
                <w:szCs w:val="21"/>
              </w:rPr>
              <w:t>授权响应时间≤3秒</w:t>
            </w:r>
          </w:p>
          <w:p w14:paraId="04743A9D">
            <w:pPr>
              <w:spacing w:line="360" w:lineRule="auto"/>
              <w:rPr>
                <w:rFonts w:hint="eastAsia" w:ascii="宋体" w:hAnsi="宋体" w:eastAsia="宋体"/>
                <w:sz w:val="21"/>
                <w:szCs w:val="21"/>
              </w:rPr>
            </w:pPr>
            <w:r>
              <w:rPr>
                <w:rFonts w:hint="eastAsia" w:ascii="宋体" w:hAnsi="宋体" w:eastAsia="宋体"/>
                <w:sz w:val="21"/>
                <w:szCs w:val="21"/>
              </w:rPr>
              <w:t>接收设备上报数据响应时间≤3秒</w:t>
            </w:r>
          </w:p>
        </w:tc>
        <w:tc>
          <w:tcPr>
            <w:tcW w:w="1021" w:type="pct"/>
            <w:tcBorders>
              <w:top w:val="single" w:color="auto" w:sz="4" w:space="0"/>
              <w:left w:val="single" w:color="auto" w:sz="4" w:space="0"/>
              <w:bottom w:val="single" w:color="auto" w:sz="4" w:space="0"/>
              <w:right w:val="single" w:color="auto" w:sz="4" w:space="0"/>
            </w:tcBorders>
            <w:vAlign w:val="center"/>
          </w:tcPr>
          <w:p w14:paraId="79F939ED">
            <w:pPr>
              <w:spacing w:line="360" w:lineRule="auto"/>
              <w:jc w:val="center"/>
              <w:rPr>
                <w:rFonts w:hint="eastAsia" w:ascii="宋体" w:hAnsi="宋体" w:eastAsia="宋体"/>
                <w:sz w:val="21"/>
                <w:szCs w:val="21"/>
              </w:rPr>
            </w:pPr>
          </w:p>
        </w:tc>
      </w:tr>
      <w:tr w14:paraId="54FBE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095" w:type="pct"/>
            <w:tcBorders>
              <w:top w:val="single" w:color="auto" w:sz="4" w:space="0"/>
              <w:left w:val="single" w:color="auto" w:sz="4" w:space="0"/>
              <w:bottom w:val="single" w:color="auto" w:sz="4" w:space="0"/>
              <w:right w:val="single" w:color="auto" w:sz="4" w:space="0"/>
            </w:tcBorders>
            <w:vAlign w:val="center"/>
          </w:tcPr>
          <w:p w14:paraId="7894C1FE">
            <w:pPr>
              <w:spacing w:line="360" w:lineRule="auto"/>
              <w:jc w:val="center"/>
              <w:rPr>
                <w:rFonts w:hint="eastAsia" w:ascii="宋体" w:hAnsi="宋体" w:eastAsia="宋体"/>
                <w:sz w:val="21"/>
                <w:szCs w:val="21"/>
              </w:rPr>
            </w:pPr>
            <w:r>
              <w:rPr>
                <w:rFonts w:hint="eastAsia" w:ascii="宋体" w:hAnsi="宋体" w:eastAsia="宋体"/>
                <w:sz w:val="21"/>
                <w:szCs w:val="21"/>
              </w:rPr>
              <w:t>用户访问容量</w:t>
            </w:r>
          </w:p>
        </w:tc>
        <w:tc>
          <w:tcPr>
            <w:tcW w:w="2884" w:type="pct"/>
            <w:tcBorders>
              <w:top w:val="single" w:color="auto" w:sz="4" w:space="0"/>
              <w:left w:val="single" w:color="auto" w:sz="4" w:space="0"/>
              <w:bottom w:val="single" w:color="auto" w:sz="4" w:space="0"/>
              <w:right w:val="single" w:color="auto" w:sz="4" w:space="0"/>
            </w:tcBorders>
            <w:vAlign w:val="center"/>
          </w:tcPr>
          <w:p w14:paraId="7DE31F9C">
            <w:pPr>
              <w:spacing w:line="360" w:lineRule="auto"/>
              <w:rPr>
                <w:rFonts w:hint="eastAsia" w:ascii="宋体" w:hAnsi="宋体" w:eastAsia="宋体"/>
                <w:sz w:val="21"/>
                <w:szCs w:val="21"/>
              </w:rPr>
            </w:pPr>
            <w:r>
              <w:rPr>
                <w:rFonts w:hint="eastAsia" w:ascii="宋体" w:hAnsi="宋体" w:eastAsia="宋体"/>
                <w:sz w:val="21"/>
                <w:szCs w:val="21"/>
              </w:rPr>
              <w:t>具备支持1万注册用户的能力</w:t>
            </w:r>
          </w:p>
          <w:p w14:paraId="0D40AB12">
            <w:pPr>
              <w:spacing w:line="360" w:lineRule="auto"/>
              <w:rPr>
                <w:rFonts w:hint="eastAsia" w:ascii="宋体" w:hAnsi="宋体" w:eastAsia="宋体"/>
                <w:sz w:val="21"/>
                <w:szCs w:val="21"/>
              </w:rPr>
            </w:pPr>
            <w:r>
              <w:rPr>
                <w:rFonts w:hint="eastAsia" w:ascii="宋体" w:hAnsi="宋体" w:eastAsia="宋体"/>
                <w:sz w:val="21"/>
                <w:szCs w:val="21"/>
              </w:rPr>
              <w:t>最大并发连接数≥200</w:t>
            </w:r>
          </w:p>
          <w:p w14:paraId="04EF8DB6">
            <w:pPr>
              <w:spacing w:line="360" w:lineRule="auto"/>
              <w:rPr>
                <w:rFonts w:hint="eastAsia" w:ascii="宋体" w:hAnsi="宋体" w:eastAsia="宋体"/>
                <w:sz w:val="21"/>
                <w:szCs w:val="21"/>
              </w:rPr>
            </w:pPr>
            <w:r>
              <w:rPr>
                <w:rFonts w:hint="eastAsia" w:ascii="宋体" w:hAnsi="宋体" w:eastAsia="宋体"/>
                <w:sz w:val="21"/>
                <w:szCs w:val="21"/>
              </w:rPr>
              <w:t>可达到并发200个节点系统</w:t>
            </w:r>
          </w:p>
        </w:tc>
        <w:tc>
          <w:tcPr>
            <w:tcW w:w="1021" w:type="pct"/>
            <w:tcBorders>
              <w:top w:val="single" w:color="auto" w:sz="4" w:space="0"/>
              <w:left w:val="single" w:color="auto" w:sz="4" w:space="0"/>
              <w:bottom w:val="single" w:color="auto" w:sz="4" w:space="0"/>
              <w:right w:val="single" w:color="auto" w:sz="4" w:space="0"/>
            </w:tcBorders>
            <w:vAlign w:val="center"/>
          </w:tcPr>
          <w:p w14:paraId="751C2D1F">
            <w:pPr>
              <w:spacing w:line="360" w:lineRule="auto"/>
              <w:jc w:val="center"/>
              <w:rPr>
                <w:rFonts w:hint="eastAsia" w:ascii="宋体" w:hAnsi="宋体" w:eastAsia="宋体"/>
                <w:sz w:val="21"/>
                <w:szCs w:val="21"/>
              </w:rPr>
            </w:pPr>
            <w:r>
              <w:rPr>
                <w:rFonts w:hint="eastAsia" w:ascii="宋体" w:hAnsi="宋体" w:eastAsia="宋体"/>
                <w:sz w:val="21"/>
                <w:szCs w:val="21"/>
              </w:rPr>
              <w:t>并发数指同时操作同一功能</w:t>
            </w:r>
          </w:p>
        </w:tc>
      </w:tr>
    </w:tbl>
    <w:p w14:paraId="5FA64C46">
      <w:pPr>
        <w:pStyle w:val="6"/>
        <w:spacing w:before="0" w:after="0" w:line="360" w:lineRule="auto"/>
        <w:rPr>
          <w:rFonts w:hint="eastAsia" w:ascii="宋体" w:hAnsi="宋体" w:eastAsia="宋体"/>
          <w:sz w:val="24"/>
        </w:rPr>
      </w:pPr>
      <w:bookmarkStart w:id="101" w:name="_Toc172620019"/>
      <w:bookmarkStart w:id="102" w:name="_Toc165909207"/>
      <w:bookmarkStart w:id="103" w:name="_Toc175233349"/>
      <w:r>
        <w:rPr>
          <w:rFonts w:hint="eastAsia" w:ascii="宋体" w:hAnsi="宋体" w:eastAsia="宋体"/>
          <w:sz w:val="24"/>
        </w:rPr>
        <w:t>可靠性指标需求</w:t>
      </w:r>
      <w:bookmarkEnd w:id="96"/>
      <w:bookmarkEnd w:id="97"/>
      <w:bookmarkEnd w:id="98"/>
      <w:bookmarkEnd w:id="99"/>
      <w:bookmarkEnd w:id="100"/>
      <w:bookmarkEnd w:id="101"/>
      <w:bookmarkEnd w:id="102"/>
      <w:bookmarkEnd w:id="103"/>
    </w:p>
    <w:p w14:paraId="09C8F9A4">
      <w:pPr>
        <w:pStyle w:val="57"/>
      </w:pPr>
      <w:r>
        <w:rPr>
          <w:rFonts w:hint="eastAsia"/>
        </w:rPr>
        <w:t>系统应提供</w:t>
      </w:r>
      <w:r>
        <w:t>7</w:t>
      </w:r>
      <w:r>
        <w:rPr>
          <w:rFonts w:hint="eastAsia"/>
        </w:rPr>
        <w:t>×</w:t>
      </w:r>
      <w:r>
        <w:t>24</w:t>
      </w:r>
      <w:r>
        <w:rPr>
          <w:rFonts w:hint="eastAsia"/>
        </w:rPr>
        <w:t>小时的连续运行，平均年故障时间：</w:t>
      </w:r>
      <w:r>
        <w:t>&lt;1</w:t>
      </w:r>
      <w:r>
        <w:rPr>
          <w:rFonts w:hint="eastAsia"/>
        </w:rPr>
        <w:t>天，平均故障修复时间：</w:t>
      </w:r>
      <w:r>
        <w:t>&lt;60</w:t>
      </w:r>
      <w:r>
        <w:rPr>
          <w:rFonts w:hint="eastAsia"/>
        </w:rPr>
        <w:t>分钟。</w:t>
      </w:r>
    </w:p>
    <w:p w14:paraId="7E1DC4BE">
      <w:pPr>
        <w:pStyle w:val="6"/>
        <w:spacing w:before="0" w:after="0" w:line="360" w:lineRule="auto"/>
        <w:rPr>
          <w:rFonts w:hint="eastAsia" w:ascii="宋体" w:hAnsi="宋体" w:eastAsia="宋体"/>
          <w:sz w:val="24"/>
        </w:rPr>
      </w:pPr>
      <w:bookmarkStart w:id="104" w:name="_Toc172620020"/>
      <w:bookmarkStart w:id="105" w:name="_Toc8380882"/>
      <w:bookmarkStart w:id="106" w:name="_Toc175233350"/>
      <w:bookmarkStart w:id="107" w:name="_Toc8391087"/>
      <w:bookmarkStart w:id="108" w:name="_Toc3703"/>
      <w:bookmarkStart w:id="109" w:name="_Toc165909208"/>
      <w:bookmarkStart w:id="110" w:name="_Toc8382077"/>
      <w:bookmarkStart w:id="111" w:name="_Toc485303266"/>
      <w:r>
        <w:rPr>
          <w:rFonts w:hint="eastAsia" w:ascii="宋体" w:hAnsi="宋体" w:eastAsia="宋体"/>
          <w:sz w:val="24"/>
        </w:rPr>
        <w:t>可扩展性需求</w:t>
      </w:r>
      <w:bookmarkEnd w:id="104"/>
      <w:bookmarkEnd w:id="105"/>
      <w:bookmarkEnd w:id="106"/>
      <w:bookmarkEnd w:id="107"/>
      <w:bookmarkEnd w:id="108"/>
      <w:bookmarkEnd w:id="109"/>
      <w:bookmarkEnd w:id="110"/>
      <w:bookmarkEnd w:id="111"/>
    </w:p>
    <w:p w14:paraId="5711A7C1">
      <w:pPr>
        <w:pStyle w:val="57"/>
      </w:pPr>
      <w:r>
        <w:rPr>
          <w:rFonts w:hint="eastAsia"/>
        </w:rPr>
        <w:t>系统应采用模块化、组件化设计，使应用系统可灵活配置，适应不同的情况。考虑到未来数据的扩充，数据库的设计尽可能考虑到未来扩展需要。</w:t>
      </w:r>
    </w:p>
    <w:p w14:paraId="5B5D8555">
      <w:pPr>
        <w:pStyle w:val="6"/>
        <w:spacing w:before="0" w:after="0" w:line="360" w:lineRule="auto"/>
        <w:rPr>
          <w:rFonts w:hint="eastAsia" w:ascii="宋体" w:hAnsi="宋体" w:eastAsia="宋体"/>
          <w:sz w:val="24"/>
        </w:rPr>
      </w:pPr>
      <w:bookmarkStart w:id="112" w:name="_Toc6840"/>
      <w:bookmarkStart w:id="113" w:name="_Toc8380883"/>
      <w:bookmarkStart w:id="114" w:name="_Toc8382078"/>
      <w:bookmarkStart w:id="115" w:name="_Toc165909209"/>
      <w:bookmarkStart w:id="116" w:name="_Toc172620021"/>
      <w:bookmarkStart w:id="117" w:name="_Toc175233351"/>
      <w:bookmarkStart w:id="118" w:name="_Toc485303267"/>
      <w:bookmarkStart w:id="119" w:name="_Toc8391088"/>
      <w:r>
        <w:rPr>
          <w:rFonts w:hint="eastAsia" w:ascii="宋体" w:hAnsi="宋体" w:eastAsia="宋体"/>
          <w:sz w:val="24"/>
        </w:rPr>
        <w:t>灵活性需求</w:t>
      </w:r>
      <w:bookmarkEnd w:id="112"/>
      <w:bookmarkEnd w:id="113"/>
      <w:bookmarkEnd w:id="114"/>
      <w:bookmarkEnd w:id="115"/>
      <w:bookmarkEnd w:id="116"/>
      <w:bookmarkEnd w:id="117"/>
      <w:bookmarkEnd w:id="118"/>
      <w:bookmarkEnd w:id="119"/>
    </w:p>
    <w:p w14:paraId="2DD0EF23">
      <w:pPr>
        <w:pStyle w:val="57"/>
      </w:pPr>
      <w:r>
        <w:rPr>
          <w:rFonts w:hint="eastAsia"/>
        </w:rPr>
        <w:t>系统使用自主知识产权产品，可进行源代码级修改。</w:t>
      </w:r>
    </w:p>
    <w:p w14:paraId="4372E2B6">
      <w:pPr>
        <w:pStyle w:val="57"/>
      </w:pPr>
      <w:r>
        <w:rPr>
          <w:rFonts w:hint="eastAsia"/>
        </w:rPr>
        <w:t>系统框架灵活，指标项可不断扩充；各项流程可灵活定制，在应用需求变化时，能方便地调整；有完善灵活的动态权限管理机制，支持多级管理模式，支持分布式应用管理模式，权限分配可由授权用户自行调整。</w:t>
      </w:r>
    </w:p>
    <w:p w14:paraId="29704785">
      <w:pPr>
        <w:pStyle w:val="6"/>
        <w:spacing w:before="0" w:after="0" w:line="360" w:lineRule="auto"/>
        <w:rPr>
          <w:rFonts w:hint="eastAsia" w:ascii="宋体" w:hAnsi="宋体" w:eastAsia="宋体"/>
          <w:sz w:val="24"/>
        </w:rPr>
      </w:pPr>
      <w:bookmarkStart w:id="120" w:name="_Toc8391089"/>
      <w:bookmarkStart w:id="121" w:name="_Toc8382079"/>
      <w:bookmarkStart w:id="122" w:name="_Toc8380884"/>
      <w:bookmarkStart w:id="123" w:name="_Toc165909210"/>
      <w:bookmarkStart w:id="124" w:name="_Toc485303268"/>
      <w:bookmarkStart w:id="125" w:name="_Toc19714"/>
      <w:bookmarkStart w:id="126" w:name="_Toc172620022"/>
      <w:bookmarkStart w:id="127" w:name="_Toc175233352"/>
      <w:r>
        <w:rPr>
          <w:rFonts w:hint="eastAsia" w:ascii="宋体" w:hAnsi="宋体" w:eastAsia="宋体"/>
          <w:sz w:val="24"/>
        </w:rPr>
        <w:t>故障处理需求</w:t>
      </w:r>
      <w:bookmarkEnd w:id="120"/>
      <w:bookmarkEnd w:id="121"/>
      <w:bookmarkEnd w:id="122"/>
      <w:bookmarkEnd w:id="123"/>
      <w:bookmarkEnd w:id="124"/>
      <w:bookmarkEnd w:id="125"/>
      <w:bookmarkEnd w:id="126"/>
      <w:bookmarkEnd w:id="127"/>
    </w:p>
    <w:p w14:paraId="53748644">
      <w:pPr>
        <w:pStyle w:val="57"/>
      </w:pPr>
      <w:r>
        <w:rPr>
          <w:rFonts w:hint="eastAsia"/>
        </w:rPr>
        <w:t>系统软件与数据库要做到安全可靠，防止非法用户的入侵。数据库的备份策略恰当，以防灾难性事故发生。当出现系统故障时，由软件维护小组负责维护系统软件和应用软件的安全、可靠运行。</w:t>
      </w:r>
    </w:p>
    <w:p w14:paraId="384FCD73">
      <w:pPr>
        <w:pStyle w:val="6"/>
        <w:spacing w:before="0" w:after="0" w:line="360" w:lineRule="auto"/>
        <w:rPr>
          <w:rFonts w:hint="eastAsia" w:ascii="宋体" w:hAnsi="宋体" w:eastAsia="宋体"/>
          <w:sz w:val="24"/>
        </w:rPr>
      </w:pPr>
      <w:bookmarkStart w:id="128" w:name="_Toc175233353"/>
      <w:bookmarkStart w:id="129" w:name="_Toc172620023"/>
      <w:bookmarkStart w:id="130" w:name="_Toc485303269"/>
      <w:bookmarkStart w:id="131" w:name="_Toc165909211"/>
      <w:bookmarkStart w:id="132" w:name="_Toc8391090"/>
      <w:bookmarkStart w:id="133" w:name="_Toc8380885"/>
      <w:bookmarkStart w:id="134" w:name="_Toc22832"/>
      <w:bookmarkStart w:id="135" w:name="_Toc8382080"/>
      <w:r>
        <w:rPr>
          <w:rFonts w:hint="eastAsia" w:ascii="宋体" w:hAnsi="宋体" w:eastAsia="宋体"/>
          <w:sz w:val="24"/>
        </w:rPr>
        <w:t>标准化需求</w:t>
      </w:r>
      <w:bookmarkEnd w:id="128"/>
      <w:bookmarkEnd w:id="129"/>
      <w:bookmarkEnd w:id="130"/>
      <w:bookmarkEnd w:id="131"/>
      <w:bookmarkEnd w:id="132"/>
      <w:bookmarkEnd w:id="133"/>
      <w:bookmarkEnd w:id="134"/>
      <w:bookmarkEnd w:id="135"/>
    </w:p>
    <w:p w14:paraId="68897A15">
      <w:pPr>
        <w:pStyle w:val="57"/>
      </w:pPr>
      <w:r>
        <w:rPr>
          <w:rFonts w:hint="eastAsia"/>
        </w:rPr>
        <w:t>应严格按照国家和国际标准来设计，成为一个开放且标准的系统，使系统与硬件环境、通信环境、现有</w:t>
      </w:r>
      <w:r>
        <w:t>IT</w:t>
      </w:r>
      <w:r>
        <w:rPr>
          <w:rFonts w:hint="eastAsia"/>
        </w:rPr>
        <w:t>环境、操作平台之间的相互制约和影响减至最小。</w:t>
      </w:r>
    </w:p>
    <w:p w14:paraId="7D1D7881">
      <w:pPr>
        <w:pStyle w:val="6"/>
        <w:spacing w:before="0" w:after="0" w:line="360" w:lineRule="auto"/>
        <w:rPr>
          <w:rFonts w:hint="eastAsia" w:ascii="宋体" w:hAnsi="宋体" w:eastAsia="宋体"/>
          <w:sz w:val="24"/>
        </w:rPr>
      </w:pPr>
      <w:bookmarkStart w:id="136" w:name="_Toc8382081"/>
      <w:bookmarkStart w:id="137" w:name="_Toc165909212"/>
      <w:bookmarkStart w:id="138" w:name="_Toc485303270"/>
      <w:bookmarkStart w:id="139" w:name="_Toc172620024"/>
      <w:bookmarkStart w:id="140" w:name="_Toc4853"/>
      <w:bookmarkStart w:id="141" w:name="_Toc8391091"/>
      <w:bookmarkStart w:id="142" w:name="_Toc8380886"/>
      <w:bookmarkStart w:id="143" w:name="_Toc175233354"/>
      <w:r>
        <w:rPr>
          <w:rFonts w:hint="eastAsia" w:ascii="宋体" w:hAnsi="宋体" w:eastAsia="宋体"/>
          <w:sz w:val="24"/>
        </w:rPr>
        <w:t>易维护性需求</w:t>
      </w:r>
      <w:bookmarkEnd w:id="136"/>
      <w:bookmarkEnd w:id="137"/>
      <w:bookmarkEnd w:id="138"/>
      <w:bookmarkEnd w:id="139"/>
      <w:bookmarkEnd w:id="140"/>
      <w:bookmarkEnd w:id="141"/>
      <w:bookmarkEnd w:id="142"/>
      <w:bookmarkEnd w:id="143"/>
    </w:p>
    <w:p w14:paraId="6EA4D6E2">
      <w:pPr>
        <w:widowControl/>
        <w:spacing w:line="360" w:lineRule="auto"/>
        <w:ind w:firstLine="480" w:firstLineChars="200"/>
        <w:rPr>
          <w:rFonts w:hint="eastAsia" w:ascii="宋体" w:hAnsi="宋体" w:eastAsia="宋体"/>
          <w:sz w:val="24"/>
        </w:rPr>
      </w:pPr>
      <w:r>
        <w:rPr>
          <w:rFonts w:hint="eastAsia" w:ascii="宋体" w:hAnsi="宋体" w:eastAsia="宋体"/>
          <w:sz w:val="24"/>
        </w:rPr>
        <w:t>要根据具体情况具体设计，使系统易于被管理和维护。</w:t>
      </w:r>
    </w:p>
    <w:bookmarkEnd w:id="36"/>
    <w:bookmarkEnd w:id="37"/>
    <w:bookmarkEnd w:id="38"/>
    <w:bookmarkEnd w:id="39"/>
    <w:p w14:paraId="54FB58F8">
      <w:pPr>
        <w:widowControl/>
        <w:jc w:val="left"/>
        <w:rPr>
          <w:rFonts w:hint="eastAsia" w:ascii="宋体" w:hAnsi="宋体" w:eastAsia="宋体"/>
          <w:sz w:val="24"/>
        </w:rPr>
        <w:sectPr>
          <w:pgSz w:w="11906" w:h="16838"/>
          <w:pgMar w:top="1440" w:right="1803" w:bottom="1440" w:left="1803" w:header="851" w:footer="992" w:gutter="0"/>
          <w:cols w:space="720" w:num="1"/>
          <w:docGrid w:linePitch="381" w:charSpace="0"/>
        </w:sectPr>
      </w:pPr>
    </w:p>
    <w:p w14:paraId="2B9FAC88">
      <w:pPr>
        <w:pStyle w:val="2"/>
        <w:spacing w:before="120" w:after="120" w:line="360" w:lineRule="auto"/>
        <w:jc w:val="center"/>
      </w:pPr>
      <w:bookmarkStart w:id="144" w:name="_Toc175233355"/>
      <w:bookmarkStart w:id="145" w:name="_Toc173574203"/>
      <w:bookmarkStart w:id="146" w:name="_Toc153281597"/>
      <w:r>
        <w:rPr>
          <w:rFonts w:hint="eastAsia"/>
        </w:rPr>
        <w:t>项目实施方案</w:t>
      </w:r>
      <w:bookmarkEnd w:id="144"/>
      <w:bookmarkEnd w:id="145"/>
      <w:bookmarkEnd w:id="146"/>
    </w:p>
    <w:p w14:paraId="27AAB2AD">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本项目拟在在多巴拉沙片人畜饮水工程水源地安装1台不锈钢水质净化过滤器，以提升该供水工程水质，受益人口8580人。</w:t>
      </w:r>
    </w:p>
    <w:p w14:paraId="5A956572">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本项目拟在湟中区14处千吨万人水源地建设4G水质监测系统，对水质浑浊度提前监测预警监测、视频监控摄像和视频联动报警，使各水源地水质得到有效监测，从而保证供水工程的稳定运行和辖区居民的用水安全，受益人口191781人。</w:t>
      </w:r>
    </w:p>
    <w:p w14:paraId="3061B502">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本项目拟建设系统是基于环境网格化监测系统的一套实时在线监控系统，实现数据</w:t>
      </w:r>
      <w:r>
        <w:rPr>
          <w:rFonts w:ascii="宋体" w:hAnsi="宋体" w:eastAsia="宋体" w:cs="Arial"/>
          <w:kern w:val="21"/>
          <w:sz w:val="24"/>
        </w:rPr>
        <w:t>全天候实时接收、保存</w:t>
      </w:r>
      <w:r>
        <w:rPr>
          <w:rFonts w:hint="eastAsia" w:ascii="宋体" w:hAnsi="宋体" w:eastAsia="宋体" w:cs="Arial"/>
          <w:kern w:val="21"/>
          <w:sz w:val="24"/>
        </w:rPr>
        <w:t>、</w:t>
      </w:r>
      <w:r>
        <w:rPr>
          <w:rFonts w:ascii="宋体" w:hAnsi="宋体" w:eastAsia="宋体" w:cs="Arial"/>
          <w:kern w:val="21"/>
          <w:sz w:val="24"/>
        </w:rPr>
        <w:t>下载、图表显示、智能分析、智能告警提醒、联动控制声光报警等功能。无需安装软件，通过浏览器即可登录管理。系统集成度高，功能丰富，工具集众多，安全可靠和开放兼容性好等特点，具备高可定制性，实现了前端设备“云端管理，自动报警，远程查看”的物联网水质管理模式。</w:t>
      </w:r>
      <w:r>
        <w:rPr>
          <w:rFonts w:hint="eastAsia" w:ascii="宋体" w:hAnsi="宋体" w:eastAsia="宋体" w:cs="Arial"/>
          <w:kern w:val="21"/>
          <w:sz w:val="24"/>
        </w:rPr>
        <w:t>实现实时在线检测，实时测量，实时回传数据，可以实时查看数据，及时分析，提供处理方案，加强各方面水源的指标监测，有了具体的检测数据，无论是对有效的预防还是高效的治理都能提供依据。</w:t>
      </w:r>
    </w:p>
    <w:p w14:paraId="2F69EB77">
      <w:pPr>
        <w:pStyle w:val="57"/>
        <w:ind w:firstLine="0" w:firstLineChars="0"/>
      </w:pPr>
      <w:bookmarkStart w:id="147" w:name="_Ref18167"/>
      <w:r>
        <w:drawing>
          <wp:inline distT="0" distB="0" distL="114300" distR="114300">
            <wp:extent cx="5267960" cy="2327910"/>
            <wp:effectExtent l="0" t="0" r="5080" b="3810"/>
            <wp:docPr id="2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3"/>
                    <pic:cNvPicPr>
                      <a:picLocks noChangeAspect="1"/>
                    </pic:cNvPicPr>
                  </pic:nvPicPr>
                  <pic:blipFill>
                    <a:blip r:embed="rId16"/>
                    <a:stretch>
                      <a:fillRect/>
                    </a:stretch>
                  </pic:blipFill>
                  <pic:spPr>
                    <a:xfrm>
                      <a:off x="0" y="0"/>
                      <a:ext cx="5267960" cy="2327910"/>
                    </a:xfrm>
                    <a:prstGeom prst="rect">
                      <a:avLst/>
                    </a:prstGeom>
                    <a:noFill/>
                    <a:ln>
                      <a:noFill/>
                    </a:ln>
                  </pic:spPr>
                </pic:pic>
              </a:graphicData>
            </a:graphic>
          </wp:inline>
        </w:drawing>
      </w:r>
      <w:bookmarkEnd w:id="147"/>
    </w:p>
    <w:p w14:paraId="0D7AF0A0">
      <w:pPr>
        <w:pStyle w:val="3"/>
        <w:spacing w:before="0" w:after="0" w:line="360" w:lineRule="auto"/>
        <w:rPr>
          <w:rFonts w:hint="eastAsia" w:ascii="宋体" w:hAnsi="宋体" w:eastAsia="宋体"/>
          <w:sz w:val="28"/>
          <w:szCs w:val="28"/>
        </w:rPr>
      </w:pPr>
      <w:bookmarkStart w:id="148" w:name="_Toc173574202"/>
      <w:bookmarkStart w:id="149" w:name="_Toc153281596"/>
      <w:bookmarkStart w:id="150" w:name="_Toc175233356"/>
      <w:bookmarkStart w:id="151" w:name="_Toc173574204"/>
      <w:bookmarkStart w:id="152" w:name="_Toc153281606"/>
      <w:r>
        <w:rPr>
          <w:rFonts w:hint="eastAsia" w:ascii="宋体" w:hAnsi="宋体" w:eastAsia="宋体"/>
          <w:sz w:val="28"/>
          <w:szCs w:val="28"/>
        </w:rPr>
        <w:t>项目实施原则</w:t>
      </w:r>
      <w:bookmarkEnd w:id="148"/>
      <w:bookmarkEnd w:id="149"/>
      <w:bookmarkEnd w:id="150"/>
    </w:p>
    <w:p w14:paraId="406DED09">
      <w:pPr>
        <w:pStyle w:val="43"/>
        <w:spacing w:line="360" w:lineRule="auto"/>
        <w:ind w:firstLine="480" w:firstLineChars="200"/>
        <w:rPr>
          <w:rFonts w:hint="eastAsia" w:ascii="宋体" w:hAnsi="宋体" w:eastAsia="宋体" w:cs="Times New Roman"/>
          <w:sz w:val="24"/>
        </w:rPr>
      </w:pPr>
      <w:r>
        <w:rPr>
          <w:rFonts w:hint="eastAsia" w:ascii="宋体" w:hAnsi="宋体" w:eastAsia="宋体"/>
          <w:sz w:val="24"/>
        </w:rPr>
        <w:t>本项目</w:t>
      </w:r>
      <w:r>
        <w:rPr>
          <w:rFonts w:ascii="宋体" w:hAnsi="宋体" w:eastAsia="宋体" w:cs="Times New Roman"/>
          <w:sz w:val="24"/>
        </w:rPr>
        <w:t>建设遵循“整体性、开放性、先进性、实用性、标准化、可扩展性、安全性和可靠性”的原则，确保系统的设计和建设满足管理和服务的全局需求，体现管理和服务的数字化、智能化领先水平。</w:t>
      </w:r>
    </w:p>
    <w:p w14:paraId="542B53FA">
      <w:pPr>
        <w:pStyle w:val="43"/>
        <w:spacing w:line="360" w:lineRule="auto"/>
        <w:ind w:firstLine="480" w:firstLineChars="200"/>
        <w:rPr>
          <w:rFonts w:hint="eastAsia" w:ascii="宋体" w:hAnsi="宋体" w:eastAsia="宋体" w:cs="Times New Roman"/>
          <w:sz w:val="24"/>
        </w:rPr>
      </w:pPr>
      <w:r>
        <w:rPr>
          <w:rFonts w:ascii="宋体" w:hAnsi="宋体" w:eastAsia="宋体" w:cs="Times New Roman"/>
          <w:sz w:val="24"/>
        </w:rPr>
        <w:t>（1）整体性</w:t>
      </w:r>
    </w:p>
    <w:p w14:paraId="1D417244">
      <w:pPr>
        <w:pStyle w:val="43"/>
        <w:spacing w:line="360" w:lineRule="auto"/>
        <w:ind w:firstLine="480" w:firstLineChars="200"/>
        <w:rPr>
          <w:rFonts w:hint="eastAsia" w:ascii="宋体" w:hAnsi="宋体" w:eastAsia="宋体" w:cs="Times New Roman"/>
          <w:sz w:val="24"/>
        </w:rPr>
      </w:pPr>
      <w:r>
        <w:rPr>
          <w:rFonts w:ascii="宋体" w:hAnsi="宋体" w:eastAsia="宋体" w:cs="Times New Roman"/>
          <w:sz w:val="24"/>
        </w:rPr>
        <w:t>以“兼容已有、立足现在、着眼未来”的设计思路进行项目整体规划设计，在系统架构、网络传输、点位布建、业务应用等方面，既要考虑已有资源接入和兼容、又要运用成熟的先进技术满足本项目建设需求，还要为将来的扩容、扩展和升级打下基础。</w:t>
      </w:r>
    </w:p>
    <w:p w14:paraId="72C96960">
      <w:pPr>
        <w:pStyle w:val="43"/>
        <w:spacing w:line="360" w:lineRule="auto"/>
        <w:ind w:firstLine="480" w:firstLineChars="200"/>
        <w:rPr>
          <w:rFonts w:hint="eastAsia" w:ascii="宋体" w:hAnsi="宋体" w:eastAsia="宋体" w:cs="Times New Roman"/>
          <w:sz w:val="24"/>
        </w:rPr>
      </w:pPr>
      <w:r>
        <w:rPr>
          <w:rFonts w:ascii="宋体" w:hAnsi="宋体" w:eastAsia="宋体" w:cs="Times New Roman"/>
          <w:sz w:val="24"/>
        </w:rPr>
        <w:t>（2）开放性</w:t>
      </w:r>
    </w:p>
    <w:p w14:paraId="33DC7D70">
      <w:pPr>
        <w:pStyle w:val="43"/>
        <w:spacing w:line="360" w:lineRule="auto"/>
        <w:ind w:firstLine="480" w:firstLineChars="200"/>
        <w:rPr>
          <w:rFonts w:hint="eastAsia" w:ascii="宋体" w:hAnsi="宋体" w:eastAsia="宋体" w:cs="Times New Roman"/>
          <w:sz w:val="24"/>
        </w:rPr>
      </w:pPr>
      <w:r>
        <w:rPr>
          <w:rFonts w:ascii="宋体" w:hAnsi="宋体" w:eastAsia="宋体" w:cs="Times New Roman"/>
          <w:sz w:val="24"/>
        </w:rPr>
        <w:t>系统设计时，应采用业界主流的硬件设备、操作系统、数据库及标准协议，充分考虑算法与算力解耦，数据与应用解耦，保证基础设施、数据、算法、应用等各层能力的开放。</w:t>
      </w:r>
    </w:p>
    <w:p w14:paraId="2CC50B61">
      <w:pPr>
        <w:pStyle w:val="43"/>
        <w:spacing w:line="360" w:lineRule="auto"/>
        <w:ind w:firstLine="480" w:firstLineChars="200"/>
        <w:rPr>
          <w:rFonts w:hint="eastAsia" w:ascii="宋体" w:hAnsi="宋体" w:eastAsia="宋体" w:cs="Times New Roman"/>
          <w:sz w:val="24"/>
        </w:rPr>
      </w:pPr>
      <w:r>
        <w:rPr>
          <w:rFonts w:ascii="宋体" w:hAnsi="宋体" w:eastAsia="宋体" w:cs="Times New Roman"/>
          <w:sz w:val="24"/>
        </w:rPr>
        <w:t>（3）先进性</w:t>
      </w:r>
    </w:p>
    <w:p w14:paraId="1E524BFA">
      <w:pPr>
        <w:pStyle w:val="43"/>
        <w:spacing w:line="360" w:lineRule="auto"/>
        <w:ind w:firstLine="480" w:firstLineChars="200"/>
        <w:rPr>
          <w:rFonts w:hint="eastAsia" w:ascii="宋体" w:hAnsi="宋体" w:eastAsia="宋体" w:cs="Times New Roman"/>
          <w:sz w:val="24"/>
        </w:rPr>
      </w:pPr>
      <w:r>
        <w:rPr>
          <w:rFonts w:ascii="宋体" w:hAnsi="宋体" w:eastAsia="宋体" w:cs="Times New Roman"/>
          <w:sz w:val="24"/>
        </w:rPr>
        <w:t>系统设计时，充分考虑架构和技术的先进性，确保选用的架构和技术符合未来发展趋势，使系统具有较强的生命力，有长期使用价值。充分考虑信息技术的迅速发展的趋势，在技术上应具有一定的超前性，采用国际或国内的先进技术，以适应现代科学技术的发展。以适度超前的意识为指导原则，设计中采用先进的系统设备及系统软件和开发工具，以集成化、数字化和智能化的主流产品为核心设备，以保证系统在技术上领先，成熟稳定，符合今后的发展趋势。</w:t>
      </w:r>
    </w:p>
    <w:p w14:paraId="56397116">
      <w:pPr>
        <w:pStyle w:val="43"/>
        <w:spacing w:line="360" w:lineRule="auto"/>
        <w:ind w:firstLine="480" w:firstLineChars="200"/>
        <w:rPr>
          <w:rFonts w:hint="eastAsia" w:ascii="宋体" w:hAnsi="宋体" w:eastAsia="宋体" w:cs="Times New Roman"/>
          <w:sz w:val="24"/>
        </w:rPr>
      </w:pPr>
      <w:r>
        <w:rPr>
          <w:rFonts w:ascii="宋体" w:hAnsi="宋体" w:eastAsia="宋体" w:cs="Times New Roman"/>
          <w:sz w:val="24"/>
        </w:rPr>
        <w:t>（4）实用性</w:t>
      </w:r>
    </w:p>
    <w:p w14:paraId="74B44CD4">
      <w:pPr>
        <w:pStyle w:val="43"/>
        <w:spacing w:line="360" w:lineRule="auto"/>
        <w:ind w:firstLine="480" w:firstLineChars="200"/>
        <w:rPr>
          <w:rFonts w:hint="eastAsia" w:ascii="宋体" w:hAnsi="宋体" w:eastAsia="宋体" w:cs="Times New Roman"/>
          <w:sz w:val="24"/>
        </w:rPr>
      </w:pPr>
      <w:r>
        <w:rPr>
          <w:rFonts w:ascii="宋体" w:hAnsi="宋体" w:eastAsia="宋体" w:cs="Times New Roman"/>
          <w:sz w:val="24"/>
        </w:rPr>
        <w:t>采用成熟和实用的技术和设备，最大限度地满足现在和未来的功能需要，项目建设必须突出实用性，鉴于系统技术复杂，在建设中应以现实需求为导向，以有效应用为核心，以技术建设与工作机制的同步协调为保障，确保系统能有效服务于各级业务部门的需要。</w:t>
      </w:r>
    </w:p>
    <w:p w14:paraId="43F45A2D">
      <w:pPr>
        <w:pStyle w:val="43"/>
        <w:spacing w:line="360" w:lineRule="auto"/>
        <w:ind w:firstLine="480" w:firstLineChars="200"/>
        <w:rPr>
          <w:rFonts w:hint="eastAsia" w:ascii="宋体" w:hAnsi="宋体" w:eastAsia="宋体" w:cs="Times New Roman"/>
          <w:sz w:val="24"/>
        </w:rPr>
      </w:pPr>
      <w:r>
        <w:rPr>
          <w:rFonts w:ascii="宋体" w:hAnsi="宋体" w:eastAsia="宋体" w:cs="Times New Roman"/>
          <w:sz w:val="24"/>
        </w:rPr>
        <w:t>（5）标准化</w:t>
      </w:r>
    </w:p>
    <w:p w14:paraId="10343F40">
      <w:pPr>
        <w:pStyle w:val="43"/>
        <w:spacing w:line="360" w:lineRule="auto"/>
        <w:ind w:firstLine="480" w:firstLineChars="200"/>
        <w:rPr>
          <w:rFonts w:hint="eastAsia" w:ascii="宋体" w:hAnsi="宋体" w:eastAsia="宋体" w:cs="Times New Roman"/>
          <w:sz w:val="24"/>
        </w:rPr>
      </w:pPr>
      <w:r>
        <w:rPr>
          <w:rFonts w:ascii="宋体" w:hAnsi="宋体" w:eastAsia="宋体" w:cs="Times New Roman"/>
          <w:sz w:val="24"/>
        </w:rPr>
        <w:t>系统建设必须统一标准，在符合国家和行业相关标准及地方标准的建设要求基础上，采用先进的技术手段和系统架构，在统一的标准框架下实现统一部署、资源共享、平台共用，构建各种设备接入、各子系统互联互通共享的系统。</w:t>
      </w:r>
    </w:p>
    <w:p w14:paraId="3F6B37FE">
      <w:pPr>
        <w:pStyle w:val="43"/>
        <w:spacing w:line="360" w:lineRule="auto"/>
        <w:ind w:firstLine="480" w:firstLineChars="200"/>
        <w:rPr>
          <w:rFonts w:hint="eastAsia" w:ascii="宋体" w:hAnsi="宋体" w:eastAsia="宋体" w:cs="Times New Roman"/>
          <w:sz w:val="24"/>
        </w:rPr>
      </w:pPr>
      <w:r>
        <w:rPr>
          <w:rFonts w:ascii="宋体" w:hAnsi="宋体" w:eastAsia="宋体" w:cs="Times New Roman"/>
          <w:sz w:val="24"/>
        </w:rPr>
        <w:t>（6）可扩展性</w:t>
      </w:r>
    </w:p>
    <w:p w14:paraId="0F4FD887">
      <w:pPr>
        <w:pStyle w:val="43"/>
        <w:spacing w:line="360" w:lineRule="auto"/>
        <w:ind w:firstLine="480" w:firstLineChars="200"/>
        <w:rPr>
          <w:rFonts w:hint="eastAsia" w:ascii="宋体" w:hAnsi="宋体" w:eastAsia="宋体" w:cs="Times New Roman"/>
          <w:sz w:val="24"/>
        </w:rPr>
      </w:pPr>
      <w:r>
        <w:rPr>
          <w:rFonts w:ascii="宋体" w:hAnsi="宋体" w:eastAsia="宋体" w:cs="Times New Roman"/>
          <w:sz w:val="24"/>
        </w:rPr>
        <w:t>系统总体结构具有兼容性和可扩展性，可兼容不同厂商类型的产品，使整个系统可以随着技术的发展与进步，不断得到充实、完善、改进和提高，并在设计上留有冗余，以便于将来的系统应用扩展。</w:t>
      </w:r>
    </w:p>
    <w:p w14:paraId="053270F0">
      <w:pPr>
        <w:pStyle w:val="43"/>
        <w:spacing w:line="360" w:lineRule="auto"/>
        <w:ind w:firstLine="480" w:firstLineChars="200"/>
        <w:rPr>
          <w:rFonts w:hint="eastAsia" w:ascii="宋体" w:hAnsi="宋体" w:eastAsia="宋体" w:cs="Times New Roman"/>
          <w:sz w:val="24"/>
        </w:rPr>
      </w:pPr>
      <w:r>
        <w:rPr>
          <w:rFonts w:ascii="宋体" w:hAnsi="宋体" w:eastAsia="宋体" w:cs="Times New Roman"/>
          <w:sz w:val="24"/>
        </w:rPr>
        <w:t>（7）安全性和可靠性</w:t>
      </w:r>
    </w:p>
    <w:p w14:paraId="7B235C02">
      <w:pPr>
        <w:pStyle w:val="43"/>
        <w:spacing w:line="360" w:lineRule="auto"/>
        <w:ind w:firstLine="480" w:firstLineChars="200"/>
        <w:rPr>
          <w:rFonts w:hint="eastAsia" w:ascii="宋体" w:hAnsi="宋体" w:eastAsia="宋体" w:cs="Times New Roman"/>
          <w:sz w:val="24"/>
        </w:rPr>
      </w:pPr>
      <w:r>
        <w:rPr>
          <w:rFonts w:ascii="宋体" w:hAnsi="宋体" w:eastAsia="宋体" w:cs="Times New Roman"/>
          <w:sz w:val="24"/>
        </w:rPr>
        <w:t>系统应具有容错措施，单点、局部设备故障不影响整体系统的功能和性能，核心和关键设备采用冗余配置，以集群或热备方式运行，实现故障快速恢复。</w:t>
      </w:r>
      <w:r>
        <w:rPr>
          <w:rFonts w:ascii="宋体" w:hAnsi="宋体" w:eastAsia="宋体" w:cs="Times New Roman"/>
          <w:sz w:val="24"/>
        </w:rPr>
        <w:br w:type="page"/>
      </w:r>
    </w:p>
    <w:p w14:paraId="168DBB1B">
      <w:pPr>
        <w:pStyle w:val="3"/>
        <w:spacing w:before="0" w:after="0" w:line="360" w:lineRule="auto"/>
        <w:rPr>
          <w:rFonts w:hint="eastAsia" w:ascii="宋体" w:hAnsi="宋体" w:eastAsia="宋体"/>
          <w:sz w:val="28"/>
          <w:szCs w:val="28"/>
        </w:rPr>
      </w:pPr>
      <w:bookmarkStart w:id="153" w:name="_Toc175233357"/>
      <w:r>
        <w:rPr>
          <w:rFonts w:hint="eastAsia" w:ascii="宋体" w:hAnsi="宋体" w:eastAsia="宋体"/>
          <w:sz w:val="28"/>
          <w:szCs w:val="28"/>
        </w:rPr>
        <w:t>总体技术路线</w:t>
      </w:r>
      <w:bookmarkEnd w:id="153"/>
    </w:p>
    <w:p w14:paraId="564FB062">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本项目系统的开发拟采用面向对象的需求分析去设计以规划整个系统的总体框架，并根据软件工程理论中的结构化生命周期思想与快速原型开发方法来完成整个系统的设计与开发，如图所示。即在系统分析设计阶段，从系统整体结构出发，由上至下地逐步进行分解，先综合考虑系统的整体结构，再考虑系统的局部优化；在系统的实施阶段，则坚持自下向上逐步实施，先从单个模块编程开始，按照系统总体设计结构，逐步进行模块集成及测试，最终形成整个平台。</w:t>
      </w:r>
    </w:p>
    <w:p w14:paraId="4A2E7492">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平台开发技术路线图如下所示：</w:t>
      </w:r>
    </w:p>
    <w:p w14:paraId="733ADE20">
      <w:pPr>
        <w:spacing w:line="360" w:lineRule="auto"/>
        <w:jc w:val="center"/>
        <w:rPr>
          <w:rFonts w:hint="eastAsia" w:ascii="宋体" w:hAnsi="宋体" w:eastAsia="宋体" w:cs="Arial"/>
          <w:kern w:val="21"/>
          <w:sz w:val="24"/>
        </w:rPr>
      </w:pPr>
      <w:r>
        <w:rPr>
          <w:rFonts w:ascii="Times New Roman" w:hAnsi="Times New Roman" w:eastAsia="宋体" w:cs="Times New Roman"/>
        </w:rPr>
        <w:drawing>
          <wp:inline distT="0" distB="0" distL="0" distR="0">
            <wp:extent cx="2878455" cy="286258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878455" cy="2862580"/>
                    </a:xfrm>
                    <a:prstGeom prst="rect">
                      <a:avLst/>
                    </a:prstGeom>
                    <a:noFill/>
                    <a:ln>
                      <a:noFill/>
                    </a:ln>
                    <a:effectLst/>
                  </pic:spPr>
                </pic:pic>
              </a:graphicData>
            </a:graphic>
          </wp:inline>
        </w:drawing>
      </w:r>
    </w:p>
    <w:p w14:paraId="346870B4">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管控平台以数据库和应用系统为中心，以动态数据为核心，辅助水质监测项目建设管理、水质监测考核评估、状态预警等工作，并提供现场运行情况的综合分析与决策支持，数据处理的成果以原始的形式或者经过加工处理后，存储到数据库中。</w:t>
      </w:r>
    </w:p>
    <w:p w14:paraId="25B885A1">
      <w:pPr>
        <w:pStyle w:val="44"/>
        <w:numPr>
          <w:ilvl w:val="0"/>
          <w:numId w:val="9"/>
        </w:numPr>
        <w:spacing w:line="360" w:lineRule="auto"/>
        <w:ind w:firstLineChars="0"/>
        <w:rPr>
          <w:rFonts w:hint="eastAsia" w:ascii="宋体" w:hAnsi="宋体" w:eastAsia="宋体" w:cs="Arial"/>
          <w:kern w:val="21"/>
          <w:sz w:val="24"/>
        </w:rPr>
      </w:pPr>
      <w:r>
        <w:rPr>
          <w:rFonts w:hint="eastAsia" w:ascii="宋体" w:hAnsi="宋体" w:eastAsia="宋体" w:cs="Arial"/>
          <w:kern w:val="21"/>
          <w:sz w:val="24"/>
        </w:rPr>
        <w:t>采用B/S</w:t>
      </w:r>
    </w:p>
    <w:p w14:paraId="32EB3BF8">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系统采用B/S（浏览器/服务器）体系结构，系统程序和数据存放在服务器云端，普通用户只需一台安装了浏览器并能连到服务器云端就可以进行交互式系统操作，而无需客户端的安装与维护。有如下优势：</w:t>
      </w:r>
    </w:p>
    <w:p w14:paraId="056861B4">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全面实现远程办公，无论身何处，都可以随时进行工作，实时掌握并处理单位事务，掌握相关工作进展及状况。</w:t>
      </w:r>
    </w:p>
    <w:p w14:paraId="1078EA3F">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PC客户端只需要浏览器，无需安装任何软件，大大减少系统的安装实施时间。同时，由于日后系统的维护主要集中在服务器端进行，系统扩展容易，可以大大减少系统维护的工作量，将系统管理员充分解脱出来，专注于系统的整体考虑以及长远规划。</w:t>
      </w:r>
    </w:p>
    <w:p w14:paraId="09BF1AAD">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全部操作界面符合标准WEB页面操作风格，只要懂得使用浏览器，能够上网，就可熟练使用该系统，让管理者和工作人员不用花大量时间在学习使用和操作上。</w:t>
      </w:r>
    </w:p>
    <w:p w14:paraId="036F23A3">
      <w:pPr>
        <w:pStyle w:val="44"/>
        <w:numPr>
          <w:ilvl w:val="0"/>
          <w:numId w:val="9"/>
        </w:numPr>
        <w:spacing w:line="360" w:lineRule="auto"/>
        <w:ind w:firstLineChars="0"/>
        <w:rPr>
          <w:rFonts w:hint="eastAsia" w:ascii="宋体" w:hAnsi="宋体" w:eastAsia="宋体" w:cs="Arial"/>
          <w:kern w:val="21"/>
          <w:sz w:val="24"/>
        </w:rPr>
      </w:pPr>
      <w:r>
        <w:rPr>
          <w:rFonts w:hint="eastAsia" w:ascii="宋体" w:hAnsi="宋体" w:eastAsia="宋体" w:cs="Arial"/>
          <w:kern w:val="21"/>
          <w:sz w:val="24"/>
        </w:rPr>
        <w:t>采用微服务架构</w:t>
      </w:r>
    </w:p>
    <w:p w14:paraId="59B6CDF3">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通过微服务架构使系统的构建变得更加灵活：</w:t>
      </w:r>
    </w:p>
    <w:p w14:paraId="5507C3C9">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降低复杂度：将原来耦合在一起的复杂业务拆分单个服务，每一个微服务专注于单一功能，并通过定义良好的接口清晰表述服务边界，通过使用缓存、DAL等各种技术手段来提升系统的性能。</w:t>
      </w:r>
    </w:p>
    <w:p w14:paraId="25EECE10">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可独立部署：当业务迭代时只需要发布相关服务的迭代即可，降低测试的工作量同时也降低服务发布的风险。</w:t>
      </w:r>
    </w:p>
    <w:p w14:paraId="5563FFB2">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容错：将故障会被隔离在单个服务中，通过限流、熔断等方式降低错误导致的危害，保障核心业务正常运行。</w:t>
      </w:r>
    </w:p>
    <w:p w14:paraId="78553F3B">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扩展：单块架构应用可以实现横向扩展，将整个应用完整的复制到不同的节点，每个服务可以根据实际需求独立进行扩展。</w:t>
      </w:r>
    </w:p>
    <w:p w14:paraId="7967A607">
      <w:pPr>
        <w:pStyle w:val="44"/>
        <w:numPr>
          <w:ilvl w:val="0"/>
          <w:numId w:val="9"/>
        </w:numPr>
        <w:spacing w:line="360" w:lineRule="auto"/>
        <w:ind w:firstLineChars="0"/>
        <w:rPr>
          <w:rFonts w:hint="eastAsia" w:ascii="宋体" w:hAnsi="宋体" w:eastAsia="宋体" w:cs="Arial"/>
          <w:kern w:val="21"/>
          <w:sz w:val="24"/>
        </w:rPr>
      </w:pPr>
      <w:r>
        <w:rPr>
          <w:rFonts w:hint="eastAsia" w:ascii="宋体" w:hAnsi="宋体" w:eastAsia="宋体" w:cs="Arial"/>
          <w:kern w:val="21"/>
          <w:sz w:val="24"/>
        </w:rPr>
        <w:t>前后端分离</w:t>
      </w:r>
    </w:p>
    <w:p w14:paraId="18595474">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前端实现HTML5，采用基于JQuery，layUI等的跨平台展现框架，基于Web2.0技术，兼容所有主流浏览器，并通过Nginx实现前后端分离，前后端只通过JSON来交流，实现了系统的分布式部署，从而保障云平台能够快速响应。</w:t>
      </w:r>
    </w:p>
    <w:p w14:paraId="3609ADFF">
      <w:pPr>
        <w:pStyle w:val="44"/>
        <w:numPr>
          <w:ilvl w:val="0"/>
          <w:numId w:val="9"/>
        </w:numPr>
        <w:spacing w:line="360" w:lineRule="auto"/>
        <w:ind w:firstLineChars="0"/>
        <w:rPr>
          <w:rFonts w:hint="eastAsia" w:ascii="宋体" w:hAnsi="宋体" w:eastAsia="宋体" w:cs="Arial"/>
          <w:kern w:val="21"/>
          <w:sz w:val="24"/>
        </w:rPr>
      </w:pPr>
      <w:r>
        <w:rPr>
          <w:rFonts w:hint="eastAsia" w:ascii="宋体" w:hAnsi="宋体" w:eastAsia="宋体" w:cs="Arial"/>
          <w:kern w:val="21"/>
          <w:sz w:val="24"/>
        </w:rPr>
        <w:t>负载均衡</w:t>
      </w:r>
    </w:p>
    <w:p w14:paraId="2C64F0E5">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负载均衡是将负载（工作任务，访问请求）进行平衡、分摊到多个操作单元（服务器，组件）上进行执行，是解决高性能，单点故障（高可用），扩展性（水平伸缩）的终极解决方案。本项目选用Nginx来实现应用层的负载均衡，采用Nginx（服务端）+Ribbon（客户端）两种方式结合，实现外部访问和内部调用过程的负载均衡。</w:t>
      </w:r>
    </w:p>
    <w:p w14:paraId="377A5231">
      <w:pPr>
        <w:widowControl/>
        <w:jc w:val="left"/>
        <w:rPr>
          <w:rFonts w:hint="eastAsia" w:ascii="宋体" w:hAnsi="宋体" w:eastAsia="宋体" w:cs="Arial"/>
          <w:kern w:val="21"/>
          <w:sz w:val="24"/>
        </w:rPr>
      </w:pPr>
      <w:r>
        <w:rPr>
          <w:rFonts w:hint="eastAsia" w:ascii="宋体" w:hAnsi="宋体" w:eastAsia="宋体" w:cs="Arial"/>
          <w:kern w:val="21"/>
          <w:sz w:val="24"/>
        </w:rPr>
        <w:br w:type="page"/>
      </w:r>
    </w:p>
    <w:p w14:paraId="6AAFE2D6">
      <w:pPr>
        <w:pStyle w:val="3"/>
        <w:spacing w:before="0" w:after="0" w:line="360" w:lineRule="auto"/>
        <w:rPr>
          <w:rFonts w:hint="eastAsia" w:ascii="宋体" w:hAnsi="宋体" w:eastAsia="宋体"/>
          <w:sz w:val="28"/>
          <w:szCs w:val="28"/>
        </w:rPr>
      </w:pPr>
      <w:bookmarkStart w:id="154" w:name="_Toc175233358"/>
      <w:r>
        <w:rPr>
          <w:rFonts w:hint="eastAsia" w:ascii="宋体" w:hAnsi="宋体" w:eastAsia="宋体"/>
          <w:sz w:val="28"/>
          <w:szCs w:val="28"/>
        </w:rPr>
        <w:t>水源地水质净化</w:t>
      </w:r>
      <w:bookmarkEnd w:id="151"/>
      <w:bookmarkEnd w:id="154"/>
    </w:p>
    <w:p w14:paraId="789E1F0E">
      <w:pPr>
        <w:spacing w:line="360" w:lineRule="auto"/>
        <w:ind w:firstLine="480" w:firstLineChars="200"/>
        <w:rPr>
          <w:rFonts w:hint="eastAsia" w:ascii="宋体" w:hAnsi="宋体" w:eastAsia="宋体" w:cs="仿宋"/>
          <w:sz w:val="24"/>
        </w:rPr>
      </w:pPr>
      <w:r>
        <w:rPr>
          <w:rFonts w:hint="eastAsia" w:ascii="宋体" w:hAnsi="宋体" w:eastAsia="宋体" w:cs="仿宋"/>
          <w:sz w:val="24"/>
        </w:rPr>
        <w:t>本项目在多巴拉沙片人畜饮水工程水源地安装1台不锈钢过滤器以提升该工程水质，受益人口8580人。</w:t>
      </w:r>
    </w:p>
    <w:p w14:paraId="651A4AD4">
      <w:pPr>
        <w:spacing w:line="360" w:lineRule="auto"/>
        <w:ind w:firstLine="480" w:firstLineChars="200"/>
        <w:rPr>
          <w:rFonts w:hint="eastAsia" w:ascii="宋体" w:hAnsi="宋体" w:eastAsia="宋体" w:cs="仿宋"/>
          <w:sz w:val="24"/>
        </w:rPr>
      </w:pPr>
      <w:r>
        <w:rPr>
          <w:rFonts w:hint="eastAsia" w:ascii="宋体" w:hAnsi="宋体" w:eastAsia="宋体" w:cs="仿宋"/>
          <w:sz w:val="24"/>
        </w:rPr>
        <w:t>在源水水质符合《地表水环境质量标准》（GB3838-2002）中Ⅰ、Ⅱ类水标准的情况下，净化后水质常规检测指标达到国家饮用水标准《生活饮用水卫生标准》（GB5749-2022）的要求。</w:t>
      </w:r>
    </w:p>
    <w:p w14:paraId="3CB592D7">
      <w:pPr>
        <w:spacing w:line="360" w:lineRule="auto"/>
        <w:jc w:val="center"/>
        <w:rPr>
          <w:rFonts w:hint="eastAsia" w:ascii="宋体" w:hAnsi="宋体" w:eastAsia="宋体" w:cs="仿宋"/>
          <w:sz w:val="24"/>
        </w:rPr>
      </w:pPr>
      <w:r>
        <w:rPr>
          <w:rFonts w:hint="eastAsia" w:ascii="宋体" w:hAnsi="宋体" w:eastAsia="宋体" w:cs="仿宋"/>
          <w:sz w:val="24"/>
        </w:rPr>
        <w:t>净水后常规八项指标</w:t>
      </w:r>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5"/>
        <w:gridCol w:w="2686"/>
        <w:gridCol w:w="4875"/>
      </w:tblGrid>
      <w:tr w14:paraId="7F048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exact"/>
        </w:trPr>
        <w:tc>
          <w:tcPr>
            <w:tcW w:w="561" w:type="pct"/>
            <w:shd w:val="clear" w:color="auto" w:fill="auto"/>
            <w:vAlign w:val="center"/>
          </w:tcPr>
          <w:p w14:paraId="1CCF0432">
            <w:pPr>
              <w:jc w:val="center"/>
              <w:rPr>
                <w:rFonts w:hint="eastAsia" w:ascii="宋体" w:hAnsi="宋体" w:eastAsia="宋体"/>
                <w:sz w:val="24"/>
              </w:rPr>
            </w:pPr>
            <w:bookmarkStart w:id="155" w:name="_Toc482559499"/>
            <w:bookmarkStart w:id="156" w:name="_Toc482560030"/>
            <w:r>
              <w:rPr>
                <w:rFonts w:hint="eastAsia" w:ascii="宋体" w:hAnsi="宋体" w:eastAsia="宋体"/>
                <w:sz w:val="24"/>
              </w:rPr>
              <w:t>序号</w:t>
            </w:r>
            <w:bookmarkEnd w:id="155"/>
            <w:bookmarkEnd w:id="156"/>
          </w:p>
        </w:tc>
        <w:tc>
          <w:tcPr>
            <w:tcW w:w="1577" w:type="pct"/>
            <w:shd w:val="clear" w:color="auto" w:fill="auto"/>
            <w:vAlign w:val="center"/>
          </w:tcPr>
          <w:p w14:paraId="4CE0AD95">
            <w:pPr>
              <w:jc w:val="center"/>
              <w:rPr>
                <w:rFonts w:hint="eastAsia" w:ascii="宋体" w:hAnsi="宋体" w:eastAsia="宋体"/>
                <w:sz w:val="24"/>
              </w:rPr>
            </w:pPr>
            <w:bookmarkStart w:id="157" w:name="_Toc482559500"/>
            <w:bookmarkStart w:id="158" w:name="_Toc482560031"/>
            <w:r>
              <w:rPr>
                <w:rFonts w:hint="eastAsia" w:ascii="宋体" w:hAnsi="宋体" w:eastAsia="宋体"/>
                <w:sz w:val="24"/>
              </w:rPr>
              <w:t>检验项目</w:t>
            </w:r>
            <w:bookmarkEnd w:id="157"/>
            <w:bookmarkEnd w:id="158"/>
          </w:p>
        </w:tc>
        <w:tc>
          <w:tcPr>
            <w:tcW w:w="2862" w:type="pct"/>
            <w:shd w:val="clear" w:color="auto" w:fill="auto"/>
            <w:vAlign w:val="center"/>
          </w:tcPr>
          <w:p w14:paraId="6270088A">
            <w:pPr>
              <w:jc w:val="center"/>
              <w:rPr>
                <w:rFonts w:hint="eastAsia" w:ascii="宋体" w:hAnsi="宋体" w:eastAsia="宋体"/>
                <w:sz w:val="24"/>
              </w:rPr>
            </w:pPr>
            <w:bookmarkStart w:id="159" w:name="_Toc482560032"/>
            <w:bookmarkStart w:id="160" w:name="_Toc482559501"/>
            <w:r>
              <w:rPr>
                <w:rFonts w:hint="eastAsia" w:ascii="宋体" w:hAnsi="宋体" w:eastAsia="宋体"/>
                <w:sz w:val="24"/>
              </w:rPr>
              <w:t>标准值</w:t>
            </w:r>
            <w:bookmarkEnd w:id="159"/>
            <w:bookmarkEnd w:id="160"/>
          </w:p>
        </w:tc>
      </w:tr>
      <w:tr w14:paraId="45B3B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exact"/>
        </w:trPr>
        <w:tc>
          <w:tcPr>
            <w:tcW w:w="561" w:type="pct"/>
            <w:shd w:val="clear" w:color="auto" w:fill="auto"/>
            <w:vAlign w:val="center"/>
          </w:tcPr>
          <w:p w14:paraId="6BBDCD4B">
            <w:pPr>
              <w:jc w:val="center"/>
              <w:rPr>
                <w:rFonts w:hint="eastAsia" w:ascii="宋体" w:hAnsi="宋体" w:eastAsia="宋体"/>
                <w:sz w:val="24"/>
              </w:rPr>
            </w:pPr>
            <w:bookmarkStart w:id="161" w:name="_Toc482560033"/>
            <w:bookmarkStart w:id="162" w:name="_Toc482559502"/>
            <w:r>
              <w:rPr>
                <w:rFonts w:hint="eastAsia" w:ascii="宋体" w:hAnsi="宋体" w:eastAsia="宋体"/>
                <w:sz w:val="24"/>
              </w:rPr>
              <w:t>1</w:t>
            </w:r>
            <w:bookmarkEnd w:id="161"/>
            <w:bookmarkEnd w:id="162"/>
          </w:p>
        </w:tc>
        <w:tc>
          <w:tcPr>
            <w:tcW w:w="1577" w:type="pct"/>
            <w:shd w:val="clear" w:color="auto" w:fill="auto"/>
            <w:vAlign w:val="center"/>
          </w:tcPr>
          <w:p w14:paraId="6B79B2D9">
            <w:pPr>
              <w:jc w:val="center"/>
              <w:rPr>
                <w:rFonts w:hint="eastAsia" w:ascii="宋体" w:hAnsi="宋体" w:eastAsia="宋体"/>
                <w:sz w:val="24"/>
              </w:rPr>
            </w:pPr>
            <w:bookmarkStart w:id="163" w:name="_Toc482560034"/>
            <w:bookmarkStart w:id="164" w:name="_Toc482559503"/>
            <w:r>
              <w:rPr>
                <w:rFonts w:hint="eastAsia" w:ascii="宋体" w:hAnsi="宋体" w:eastAsia="宋体"/>
                <w:sz w:val="24"/>
              </w:rPr>
              <w:t>色度</w:t>
            </w:r>
            <w:bookmarkEnd w:id="163"/>
            <w:bookmarkEnd w:id="164"/>
          </w:p>
        </w:tc>
        <w:tc>
          <w:tcPr>
            <w:tcW w:w="2862" w:type="pct"/>
            <w:shd w:val="clear" w:color="auto" w:fill="auto"/>
            <w:vAlign w:val="center"/>
          </w:tcPr>
          <w:p w14:paraId="36CF31BC">
            <w:pPr>
              <w:jc w:val="center"/>
              <w:rPr>
                <w:rFonts w:hint="eastAsia" w:ascii="宋体" w:hAnsi="宋体" w:eastAsia="宋体"/>
                <w:sz w:val="24"/>
              </w:rPr>
            </w:pPr>
            <w:bookmarkStart w:id="165" w:name="_Toc482560035"/>
            <w:bookmarkStart w:id="166" w:name="_Toc482559504"/>
            <w:r>
              <w:rPr>
                <w:rFonts w:hint="eastAsia" w:ascii="宋体" w:hAnsi="宋体" w:eastAsia="宋体"/>
                <w:sz w:val="24"/>
              </w:rPr>
              <w:t>≤15</w:t>
            </w:r>
            <w:bookmarkEnd w:id="165"/>
            <w:bookmarkEnd w:id="166"/>
          </w:p>
        </w:tc>
      </w:tr>
      <w:tr w14:paraId="37D55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exact"/>
        </w:trPr>
        <w:tc>
          <w:tcPr>
            <w:tcW w:w="561" w:type="pct"/>
            <w:shd w:val="clear" w:color="auto" w:fill="auto"/>
            <w:vAlign w:val="center"/>
          </w:tcPr>
          <w:p w14:paraId="1ADAE3E1">
            <w:pPr>
              <w:jc w:val="center"/>
              <w:rPr>
                <w:rFonts w:hint="eastAsia" w:ascii="宋体" w:hAnsi="宋体" w:eastAsia="宋体"/>
                <w:sz w:val="24"/>
              </w:rPr>
            </w:pPr>
            <w:bookmarkStart w:id="167" w:name="_Toc482560036"/>
            <w:bookmarkStart w:id="168" w:name="_Toc482559505"/>
            <w:r>
              <w:rPr>
                <w:rFonts w:hint="eastAsia" w:ascii="宋体" w:hAnsi="宋体" w:eastAsia="宋体"/>
                <w:sz w:val="24"/>
              </w:rPr>
              <w:t>2</w:t>
            </w:r>
            <w:bookmarkEnd w:id="167"/>
            <w:bookmarkEnd w:id="168"/>
          </w:p>
        </w:tc>
        <w:tc>
          <w:tcPr>
            <w:tcW w:w="1577" w:type="pct"/>
            <w:shd w:val="clear" w:color="auto" w:fill="auto"/>
            <w:vAlign w:val="center"/>
          </w:tcPr>
          <w:p w14:paraId="5A64DFF7">
            <w:pPr>
              <w:jc w:val="center"/>
              <w:rPr>
                <w:rFonts w:hint="eastAsia" w:ascii="宋体" w:hAnsi="宋体" w:eastAsia="宋体"/>
                <w:sz w:val="24"/>
              </w:rPr>
            </w:pPr>
            <w:bookmarkStart w:id="169" w:name="_Toc482560037"/>
            <w:bookmarkStart w:id="170" w:name="_Toc482559506"/>
            <w:r>
              <w:rPr>
                <w:rFonts w:hint="eastAsia" w:ascii="宋体" w:hAnsi="宋体" w:eastAsia="宋体"/>
                <w:sz w:val="24"/>
              </w:rPr>
              <w:t>浑浊度</w:t>
            </w:r>
            <w:bookmarkEnd w:id="169"/>
            <w:bookmarkEnd w:id="170"/>
          </w:p>
        </w:tc>
        <w:tc>
          <w:tcPr>
            <w:tcW w:w="2862" w:type="pct"/>
            <w:shd w:val="clear" w:color="auto" w:fill="auto"/>
            <w:vAlign w:val="center"/>
          </w:tcPr>
          <w:p w14:paraId="6AF0ED88">
            <w:pPr>
              <w:jc w:val="center"/>
              <w:rPr>
                <w:rFonts w:hint="eastAsia" w:ascii="宋体" w:hAnsi="宋体" w:eastAsia="宋体"/>
                <w:sz w:val="24"/>
              </w:rPr>
            </w:pPr>
            <w:bookmarkStart w:id="171" w:name="_Toc482560038"/>
            <w:bookmarkStart w:id="172" w:name="_Toc482559507"/>
            <w:r>
              <w:rPr>
                <w:rFonts w:hint="eastAsia" w:ascii="宋体" w:hAnsi="宋体" w:eastAsia="宋体"/>
                <w:sz w:val="24"/>
              </w:rPr>
              <w:t>一般情况下≤1（特殊情况不超过3度）</w:t>
            </w:r>
            <w:bookmarkEnd w:id="171"/>
            <w:bookmarkEnd w:id="172"/>
          </w:p>
        </w:tc>
      </w:tr>
      <w:tr w14:paraId="68EA9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exact"/>
        </w:trPr>
        <w:tc>
          <w:tcPr>
            <w:tcW w:w="561" w:type="pct"/>
            <w:shd w:val="clear" w:color="auto" w:fill="auto"/>
            <w:vAlign w:val="center"/>
          </w:tcPr>
          <w:p w14:paraId="0F4438AB">
            <w:pPr>
              <w:jc w:val="center"/>
              <w:rPr>
                <w:rFonts w:hint="eastAsia" w:ascii="宋体" w:hAnsi="宋体" w:eastAsia="宋体"/>
                <w:sz w:val="24"/>
              </w:rPr>
            </w:pPr>
            <w:bookmarkStart w:id="173" w:name="_Toc482559508"/>
            <w:bookmarkStart w:id="174" w:name="_Toc482560039"/>
            <w:r>
              <w:rPr>
                <w:rFonts w:hint="eastAsia" w:ascii="宋体" w:hAnsi="宋体" w:eastAsia="宋体"/>
                <w:sz w:val="24"/>
              </w:rPr>
              <w:t>3</w:t>
            </w:r>
            <w:bookmarkEnd w:id="173"/>
            <w:bookmarkEnd w:id="174"/>
          </w:p>
        </w:tc>
        <w:tc>
          <w:tcPr>
            <w:tcW w:w="1577" w:type="pct"/>
            <w:shd w:val="clear" w:color="auto" w:fill="auto"/>
            <w:vAlign w:val="center"/>
          </w:tcPr>
          <w:p w14:paraId="473EC167">
            <w:pPr>
              <w:jc w:val="center"/>
              <w:rPr>
                <w:rFonts w:hint="eastAsia" w:ascii="宋体" w:hAnsi="宋体" w:eastAsia="宋体"/>
                <w:sz w:val="24"/>
              </w:rPr>
            </w:pPr>
            <w:bookmarkStart w:id="175" w:name="_Toc482559509"/>
            <w:bookmarkStart w:id="176" w:name="_Toc482560040"/>
            <w:r>
              <w:rPr>
                <w:rFonts w:hint="eastAsia" w:ascii="宋体" w:hAnsi="宋体" w:eastAsia="宋体"/>
                <w:sz w:val="24"/>
              </w:rPr>
              <w:t>肉眼可见物</w:t>
            </w:r>
            <w:bookmarkEnd w:id="175"/>
            <w:bookmarkEnd w:id="176"/>
          </w:p>
        </w:tc>
        <w:tc>
          <w:tcPr>
            <w:tcW w:w="2862" w:type="pct"/>
            <w:shd w:val="clear" w:color="auto" w:fill="auto"/>
            <w:vAlign w:val="center"/>
          </w:tcPr>
          <w:p w14:paraId="4D8E589F">
            <w:pPr>
              <w:jc w:val="center"/>
              <w:rPr>
                <w:rFonts w:hint="eastAsia" w:ascii="宋体" w:hAnsi="宋体" w:eastAsia="宋体"/>
                <w:sz w:val="24"/>
              </w:rPr>
            </w:pPr>
            <w:bookmarkStart w:id="177" w:name="_Toc482560041"/>
            <w:bookmarkStart w:id="178" w:name="_Toc482559510"/>
            <w:r>
              <w:rPr>
                <w:rFonts w:hint="eastAsia" w:ascii="宋体" w:hAnsi="宋体" w:eastAsia="宋体"/>
                <w:sz w:val="24"/>
              </w:rPr>
              <w:t>不得含有</w:t>
            </w:r>
            <w:bookmarkEnd w:id="177"/>
            <w:bookmarkEnd w:id="178"/>
          </w:p>
        </w:tc>
      </w:tr>
      <w:tr w14:paraId="077187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exact"/>
        </w:trPr>
        <w:tc>
          <w:tcPr>
            <w:tcW w:w="561" w:type="pct"/>
            <w:shd w:val="clear" w:color="auto" w:fill="auto"/>
            <w:vAlign w:val="center"/>
          </w:tcPr>
          <w:p w14:paraId="0B504899">
            <w:pPr>
              <w:jc w:val="center"/>
              <w:rPr>
                <w:rFonts w:hint="eastAsia" w:ascii="宋体" w:hAnsi="宋体" w:eastAsia="宋体"/>
                <w:sz w:val="24"/>
              </w:rPr>
            </w:pPr>
            <w:bookmarkStart w:id="179" w:name="_Toc482559511"/>
            <w:bookmarkStart w:id="180" w:name="_Toc482560042"/>
            <w:r>
              <w:rPr>
                <w:rFonts w:hint="eastAsia" w:ascii="宋体" w:hAnsi="宋体" w:eastAsia="宋体"/>
                <w:sz w:val="24"/>
              </w:rPr>
              <w:t>4</w:t>
            </w:r>
            <w:bookmarkEnd w:id="179"/>
            <w:bookmarkEnd w:id="180"/>
          </w:p>
        </w:tc>
        <w:tc>
          <w:tcPr>
            <w:tcW w:w="1577" w:type="pct"/>
            <w:shd w:val="clear" w:color="auto" w:fill="auto"/>
            <w:vAlign w:val="center"/>
          </w:tcPr>
          <w:p w14:paraId="21FDC5FD">
            <w:pPr>
              <w:jc w:val="center"/>
              <w:rPr>
                <w:rFonts w:hint="eastAsia" w:ascii="宋体" w:hAnsi="宋体" w:eastAsia="宋体"/>
                <w:sz w:val="24"/>
              </w:rPr>
            </w:pPr>
            <w:bookmarkStart w:id="181" w:name="_Toc482559512"/>
            <w:bookmarkStart w:id="182" w:name="_Toc482560043"/>
            <w:r>
              <w:rPr>
                <w:rFonts w:hint="eastAsia" w:ascii="宋体" w:hAnsi="宋体" w:eastAsia="宋体"/>
                <w:sz w:val="24"/>
              </w:rPr>
              <w:t>PH</w:t>
            </w:r>
            <w:bookmarkEnd w:id="181"/>
            <w:bookmarkEnd w:id="182"/>
          </w:p>
        </w:tc>
        <w:tc>
          <w:tcPr>
            <w:tcW w:w="2862" w:type="pct"/>
            <w:shd w:val="clear" w:color="auto" w:fill="auto"/>
            <w:vAlign w:val="center"/>
          </w:tcPr>
          <w:p w14:paraId="1FA13B6D">
            <w:pPr>
              <w:jc w:val="center"/>
              <w:rPr>
                <w:rFonts w:hint="eastAsia" w:ascii="宋体" w:hAnsi="宋体" w:eastAsia="宋体"/>
                <w:sz w:val="24"/>
              </w:rPr>
            </w:pPr>
            <w:bookmarkStart w:id="183" w:name="_Toc482559513"/>
            <w:bookmarkStart w:id="184" w:name="_Toc482560044"/>
            <w:r>
              <w:rPr>
                <w:rFonts w:hint="eastAsia" w:ascii="宋体" w:hAnsi="宋体" w:eastAsia="宋体"/>
                <w:sz w:val="24"/>
              </w:rPr>
              <w:t>6.5-8.5</w:t>
            </w:r>
            <w:bookmarkEnd w:id="183"/>
            <w:bookmarkEnd w:id="184"/>
          </w:p>
        </w:tc>
      </w:tr>
      <w:tr w14:paraId="63701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exact"/>
        </w:trPr>
        <w:tc>
          <w:tcPr>
            <w:tcW w:w="561" w:type="pct"/>
            <w:shd w:val="clear" w:color="auto" w:fill="auto"/>
            <w:vAlign w:val="center"/>
          </w:tcPr>
          <w:p w14:paraId="295A0895">
            <w:pPr>
              <w:jc w:val="center"/>
              <w:rPr>
                <w:rFonts w:hint="eastAsia" w:ascii="宋体" w:hAnsi="宋体" w:eastAsia="宋体"/>
                <w:sz w:val="24"/>
              </w:rPr>
            </w:pPr>
            <w:bookmarkStart w:id="185" w:name="_Toc482560045"/>
            <w:bookmarkStart w:id="186" w:name="_Toc482559514"/>
            <w:r>
              <w:rPr>
                <w:rFonts w:hint="eastAsia" w:ascii="宋体" w:hAnsi="宋体" w:eastAsia="宋体"/>
                <w:sz w:val="24"/>
              </w:rPr>
              <w:t>5</w:t>
            </w:r>
            <w:bookmarkEnd w:id="185"/>
            <w:bookmarkEnd w:id="186"/>
          </w:p>
        </w:tc>
        <w:tc>
          <w:tcPr>
            <w:tcW w:w="1577" w:type="pct"/>
            <w:shd w:val="clear" w:color="auto" w:fill="auto"/>
            <w:vAlign w:val="center"/>
          </w:tcPr>
          <w:p w14:paraId="7E07FED0">
            <w:pPr>
              <w:jc w:val="center"/>
              <w:rPr>
                <w:rFonts w:hint="eastAsia" w:ascii="宋体" w:hAnsi="宋体" w:eastAsia="宋体"/>
                <w:sz w:val="24"/>
              </w:rPr>
            </w:pPr>
            <w:bookmarkStart w:id="187" w:name="_Toc482560046"/>
            <w:bookmarkStart w:id="188" w:name="_Toc482559515"/>
            <w:r>
              <w:rPr>
                <w:rFonts w:hint="eastAsia" w:ascii="宋体" w:hAnsi="宋体" w:eastAsia="宋体"/>
                <w:sz w:val="24"/>
              </w:rPr>
              <w:t>臭和味</w:t>
            </w:r>
            <w:bookmarkEnd w:id="187"/>
            <w:bookmarkEnd w:id="188"/>
          </w:p>
        </w:tc>
        <w:tc>
          <w:tcPr>
            <w:tcW w:w="2862" w:type="pct"/>
            <w:shd w:val="clear" w:color="auto" w:fill="auto"/>
            <w:vAlign w:val="center"/>
          </w:tcPr>
          <w:p w14:paraId="13C764BB">
            <w:pPr>
              <w:jc w:val="center"/>
              <w:rPr>
                <w:rFonts w:hint="eastAsia" w:ascii="宋体" w:hAnsi="宋体" w:eastAsia="宋体"/>
                <w:sz w:val="24"/>
              </w:rPr>
            </w:pPr>
            <w:bookmarkStart w:id="189" w:name="_Toc482559516"/>
            <w:bookmarkStart w:id="190" w:name="_Toc482560047"/>
            <w:r>
              <w:rPr>
                <w:rFonts w:hint="eastAsia" w:ascii="宋体" w:hAnsi="宋体" w:eastAsia="宋体"/>
                <w:sz w:val="24"/>
              </w:rPr>
              <w:t>不得有异臭、异味</w:t>
            </w:r>
            <w:bookmarkEnd w:id="189"/>
            <w:bookmarkEnd w:id="190"/>
          </w:p>
        </w:tc>
      </w:tr>
      <w:tr w14:paraId="0CE39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exact"/>
        </w:trPr>
        <w:tc>
          <w:tcPr>
            <w:tcW w:w="561" w:type="pct"/>
            <w:shd w:val="clear" w:color="auto" w:fill="auto"/>
            <w:vAlign w:val="center"/>
          </w:tcPr>
          <w:p w14:paraId="5DCD7AA9">
            <w:pPr>
              <w:jc w:val="center"/>
              <w:rPr>
                <w:rFonts w:hint="eastAsia" w:ascii="宋体" w:hAnsi="宋体" w:eastAsia="宋体"/>
                <w:sz w:val="24"/>
              </w:rPr>
            </w:pPr>
            <w:bookmarkStart w:id="191" w:name="_Toc482559517"/>
            <w:bookmarkStart w:id="192" w:name="_Toc482560048"/>
            <w:r>
              <w:rPr>
                <w:rFonts w:hint="eastAsia" w:ascii="宋体" w:hAnsi="宋体" w:eastAsia="宋体"/>
                <w:sz w:val="24"/>
              </w:rPr>
              <w:t>6</w:t>
            </w:r>
            <w:bookmarkEnd w:id="191"/>
            <w:bookmarkEnd w:id="192"/>
          </w:p>
        </w:tc>
        <w:tc>
          <w:tcPr>
            <w:tcW w:w="1577" w:type="pct"/>
            <w:shd w:val="clear" w:color="auto" w:fill="auto"/>
            <w:vAlign w:val="center"/>
          </w:tcPr>
          <w:p w14:paraId="2EE77B0A">
            <w:pPr>
              <w:jc w:val="center"/>
              <w:rPr>
                <w:rFonts w:hint="eastAsia" w:ascii="宋体" w:hAnsi="宋体" w:eastAsia="宋体"/>
                <w:sz w:val="24"/>
              </w:rPr>
            </w:pPr>
            <w:bookmarkStart w:id="193" w:name="_Toc482560049"/>
            <w:bookmarkStart w:id="194" w:name="_Toc482559518"/>
            <w:r>
              <w:rPr>
                <w:rFonts w:hint="eastAsia" w:ascii="宋体" w:hAnsi="宋体" w:eastAsia="宋体"/>
                <w:sz w:val="24"/>
              </w:rPr>
              <w:t>余氯</w:t>
            </w:r>
            <w:bookmarkEnd w:id="193"/>
            <w:bookmarkEnd w:id="194"/>
          </w:p>
        </w:tc>
        <w:tc>
          <w:tcPr>
            <w:tcW w:w="2862" w:type="pct"/>
            <w:shd w:val="clear" w:color="auto" w:fill="auto"/>
            <w:vAlign w:val="center"/>
          </w:tcPr>
          <w:p w14:paraId="0167F9B7">
            <w:pPr>
              <w:jc w:val="center"/>
              <w:rPr>
                <w:rFonts w:hint="eastAsia" w:ascii="宋体" w:hAnsi="宋体" w:eastAsia="宋体"/>
                <w:sz w:val="24"/>
              </w:rPr>
            </w:pPr>
            <w:bookmarkStart w:id="195" w:name="_Toc482559519"/>
            <w:bookmarkStart w:id="196" w:name="_Toc482560050"/>
            <w:r>
              <w:rPr>
                <w:rFonts w:hint="eastAsia" w:ascii="宋体" w:hAnsi="宋体" w:eastAsia="宋体"/>
                <w:sz w:val="24"/>
              </w:rPr>
              <w:t>≥0.3mg/L</w:t>
            </w:r>
            <w:bookmarkEnd w:id="195"/>
            <w:bookmarkEnd w:id="196"/>
          </w:p>
        </w:tc>
      </w:tr>
      <w:tr w14:paraId="74A9A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exact"/>
        </w:trPr>
        <w:tc>
          <w:tcPr>
            <w:tcW w:w="561" w:type="pct"/>
            <w:shd w:val="clear" w:color="auto" w:fill="auto"/>
            <w:vAlign w:val="center"/>
          </w:tcPr>
          <w:p w14:paraId="11DC0C6C">
            <w:pPr>
              <w:jc w:val="center"/>
              <w:rPr>
                <w:rFonts w:hint="eastAsia" w:ascii="宋体" w:hAnsi="宋体" w:eastAsia="宋体"/>
                <w:sz w:val="24"/>
              </w:rPr>
            </w:pPr>
            <w:bookmarkStart w:id="197" w:name="_Toc482559520"/>
            <w:bookmarkStart w:id="198" w:name="_Toc482560051"/>
            <w:r>
              <w:rPr>
                <w:rFonts w:hint="eastAsia" w:ascii="宋体" w:hAnsi="宋体" w:eastAsia="宋体"/>
                <w:sz w:val="24"/>
              </w:rPr>
              <w:t>7</w:t>
            </w:r>
            <w:bookmarkEnd w:id="197"/>
            <w:bookmarkEnd w:id="198"/>
          </w:p>
        </w:tc>
        <w:tc>
          <w:tcPr>
            <w:tcW w:w="1577" w:type="pct"/>
            <w:shd w:val="clear" w:color="auto" w:fill="auto"/>
            <w:vAlign w:val="center"/>
          </w:tcPr>
          <w:p w14:paraId="41D54185">
            <w:pPr>
              <w:jc w:val="center"/>
              <w:rPr>
                <w:rFonts w:hint="eastAsia" w:ascii="宋体" w:hAnsi="宋体" w:eastAsia="宋体"/>
                <w:sz w:val="24"/>
              </w:rPr>
            </w:pPr>
            <w:bookmarkStart w:id="199" w:name="_Toc482560052"/>
            <w:bookmarkStart w:id="200" w:name="_Toc482559521"/>
            <w:r>
              <w:rPr>
                <w:rFonts w:hint="eastAsia" w:ascii="宋体" w:hAnsi="宋体" w:eastAsia="宋体"/>
                <w:sz w:val="24"/>
              </w:rPr>
              <w:t>细菌总数</w:t>
            </w:r>
            <w:bookmarkEnd w:id="199"/>
            <w:bookmarkEnd w:id="200"/>
          </w:p>
        </w:tc>
        <w:tc>
          <w:tcPr>
            <w:tcW w:w="2862" w:type="pct"/>
            <w:shd w:val="clear" w:color="auto" w:fill="auto"/>
            <w:vAlign w:val="center"/>
          </w:tcPr>
          <w:p w14:paraId="2D3F68F1">
            <w:pPr>
              <w:jc w:val="center"/>
              <w:rPr>
                <w:rFonts w:hint="eastAsia" w:ascii="宋体" w:hAnsi="宋体" w:eastAsia="宋体"/>
                <w:sz w:val="24"/>
              </w:rPr>
            </w:pPr>
            <w:bookmarkStart w:id="201" w:name="_Toc482559522"/>
            <w:bookmarkStart w:id="202" w:name="_Toc482560053"/>
            <w:r>
              <w:rPr>
                <w:rFonts w:hint="eastAsia" w:ascii="宋体" w:hAnsi="宋体" w:eastAsia="宋体"/>
                <w:sz w:val="24"/>
              </w:rPr>
              <w:t>≤100（CPU/ML）</w:t>
            </w:r>
            <w:bookmarkEnd w:id="201"/>
            <w:bookmarkEnd w:id="202"/>
          </w:p>
        </w:tc>
      </w:tr>
      <w:tr w14:paraId="6BA82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exact"/>
        </w:trPr>
        <w:tc>
          <w:tcPr>
            <w:tcW w:w="561" w:type="pct"/>
            <w:shd w:val="clear" w:color="auto" w:fill="auto"/>
            <w:vAlign w:val="center"/>
          </w:tcPr>
          <w:p w14:paraId="2C03F4D3">
            <w:pPr>
              <w:jc w:val="center"/>
              <w:rPr>
                <w:rFonts w:hint="eastAsia" w:ascii="宋体" w:hAnsi="宋体" w:eastAsia="宋体"/>
                <w:sz w:val="24"/>
              </w:rPr>
            </w:pPr>
            <w:bookmarkStart w:id="203" w:name="_Toc482560054"/>
            <w:bookmarkStart w:id="204" w:name="_Toc482559523"/>
            <w:r>
              <w:rPr>
                <w:rFonts w:hint="eastAsia" w:ascii="宋体" w:hAnsi="宋体" w:eastAsia="宋体"/>
                <w:sz w:val="24"/>
              </w:rPr>
              <w:t>8</w:t>
            </w:r>
            <w:bookmarkEnd w:id="203"/>
            <w:bookmarkEnd w:id="204"/>
          </w:p>
        </w:tc>
        <w:tc>
          <w:tcPr>
            <w:tcW w:w="1577" w:type="pct"/>
            <w:shd w:val="clear" w:color="auto" w:fill="auto"/>
            <w:vAlign w:val="center"/>
          </w:tcPr>
          <w:p w14:paraId="2ED412C1">
            <w:pPr>
              <w:jc w:val="center"/>
              <w:rPr>
                <w:rFonts w:hint="eastAsia" w:ascii="宋体" w:hAnsi="宋体" w:eastAsia="宋体"/>
                <w:sz w:val="24"/>
              </w:rPr>
            </w:pPr>
            <w:bookmarkStart w:id="205" w:name="_Toc482559524"/>
            <w:bookmarkStart w:id="206" w:name="_Toc482560055"/>
            <w:r>
              <w:rPr>
                <w:rFonts w:hint="eastAsia" w:ascii="宋体" w:hAnsi="宋体" w:eastAsia="宋体"/>
                <w:sz w:val="24"/>
              </w:rPr>
              <w:t>总大肠菌群</w:t>
            </w:r>
            <w:bookmarkEnd w:id="205"/>
            <w:bookmarkEnd w:id="206"/>
          </w:p>
        </w:tc>
        <w:tc>
          <w:tcPr>
            <w:tcW w:w="2862" w:type="pct"/>
            <w:shd w:val="clear" w:color="auto" w:fill="auto"/>
            <w:vAlign w:val="center"/>
          </w:tcPr>
          <w:p w14:paraId="18E03043">
            <w:pPr>
              <w:jc w:val="center"/>
              <w:rPr>
                <w:rFonts w:hint="eastAsia" w:ascii="宋体" w:hAnsi="宋体" w:eastAsia="宋体"/>
                <w:sz w:val="24"/>
              </w:rPr>
            </w:pPr>
            <w:bookmarkStart w:id="207" w:name="_Toc482559525"/>
            <w:bookmarkStart w:id="208" w:name="_Toc482560056"/>
            <w:r>
              <w:rPr>
                <w:rFonts w:hint="eastAsia" w:ascii="宋体" w:hAnsi="宋体" w:eastAsia="宋体"/>
                <w:sz w:val="24"/>
              </w:rPr>
              <w:t>不得检出</w:t>
            </w:r>
            <w:bookmarkEnd w:id="207"/>
            <w:bookmarkEnd w:id="208"/>
          </w:p>
        </w:tc>
      </w:tr>
    </w:tbl>
    <w:p w14:paraId="2DAD7FB4">
      <w:pPr>
        <w:pStyle w:val="44"/>
        <w:numPr>
          <w:ilvl w:val="0"/>
          <w:numId w:val="10"/>
        </w:numPr>
        <w:spacing w:line="360" w:lineRule="auto"/>
        <w:ind w:firstLineChars="0"/>
        <w:rPr>
          <w:rFonts w:hint="eastAsia" w:ascii="宋体" w:hAnsi="宋体" w:eastAsia="宋体" w:cs="仿宋"/>
          <w:sz w:val="24"/>
        </w:rPr>
      </w:pPr>
      <w:r>
        <w:rPr>
          <w:rFonts w:hint="eastAsia" w:ascii="宋体" w:hAnsi="宋体" w:eastAsia="宋体" w:cs="仿宋"/>
          <w:sz w:val="24"/>
        </w:rPr>
        <w:t>处理工艺思路</w:t>
      </w:r>
    </w:p>
    <w:p w14:paraId="7408E5BE">
      <w:pPr>
        <w:pStyle w:val="44"/>
        <w:numPr>
          <w:ilvl w:val="0"/>
          <w:numId w:val="11"/>
        </w:numPr>
        <w:spacing w:line="360" w:lineRule="auto"/>
        <w:ind w:left="0" w:firstLine="480"/>
        <w:rPr>
          <w:rFonts w:hint="eastAsia" w:ascii="宋体" w:hAnsi="宋体" w:eastAsia="宋体" w:cs="仿宋"/>
          <w:sz w:val="24"/>
        </w:rPr>
      </w:pPr>
      <w:r>
        <w:rPr>
          <w:rFonts w:hint="eastAsia" w:ascii="宋体" w:hAnsi="宋体" w:eastAsia="宋体" w:cs="仿宋"/>
          <w:sz w:val="24"/>
        </w:rPr>
        <w:t>采用混凝剂投加、混凝反应、沉淀、过滤的工艺对浊度进行处理；</w:t>
      </w:r>
    </w:p>
    <w:p w14:paraId="1462A38F">
      <w:pPr>
        <w:pStyle w:val="44"/>
        <w:numPr>
          <w:ilvl w:val="0"/>
          <w:numId w:val="11"/>
        </w:numPr>
        <w:spacing w:line="360" w:lineRule="auto"/>
        <w:ind w:left="0" w:firstLine="480"/>
        <w:rPr>
          <w:rFonts w:hint="eastAsia" w:ascii="宋体" w:hAnsi="宋体" w:eastAsia="宋体" w:cs="仿宋"/>
          <w:sz w:val="24"/>
        </w:rPr>
      </w:pPr>
      <w:r>
        <w:rPr>
          <w:rFonts w:hint="eastAsia" w:ascii="宋体" w:hAnsi="宋体" w:eastAsia="宋体" w:cs="仿宋"/>
          <w:sz w:val="24"/>
        </w:rPr>
        <w:t>采用均质石英砂滤料进行过滤处理；</w:t>
      </w:r>
    </w:p>
    <w:p w14:paraId="27297067">
      <w:pPr>
        <w:pStyle w:val="44"/>
        <w:numPr>
          <w:ilvl w:val="0"/>
          <w:numId w:val="11"/>
        </w:numPr>
        <w:spacing w:line="360" w:lineRule="auto"/>
        <w:ind w:left="0" w:firstLine="480"/>
        <w:rPr>
          <w:rFonts w:hint="eastAsia" w:ascii="宋体" w:hAnsi="宋体" w:eastAsia="宋体" w:cs="仿宋"/>
          <w:sz w:val="24"/>
        </w:rPr>
      </w:pPr>
      <w:r>
        <w:rPr>
          <w:rFonts w:hint="eastAsia" w:ascii="宋体" w:hAnsi="宋体" w:eastAsia="宋体" w:cs="仿宋"/>
          <w:sz w:val="24"/>
        </w:rPr>
        <w:t>采用氯片消毒，对粪大肠杆菌群及菌落总数进行处理，同时保证出厂余氯≥0.5mg/L。</w:t>
      </w:r>
    </w:p>
    <w:p w14:paraId="7BC9F5E2">
      <w:pPr>
        <w:pStyle w:val="44"/>
        <w:numPr>
          <w:ilvl w:val="0"/>
          <w:numId w:val="10"/>
        </w:numPr>
        <w:spacing w:line="360" w:lineRule="auto"/>
        <w:ind w:firstLineChars="0"/>
        <w:rPr>
          <w:rFonts w:hint="eastAsia" w:ascii="宋体" w:hAnsi="宋体" w:eastAsia="宋体" w:cs="仿宋"/>
          <w:sz w:val="24"/>
        </w:rPr>
      </w:pPr>
      <w:r>
        <w:rPr>
          <w:rFonts w:hint="eastAsia" w:ascii="宋体" w:hAnsi="宋体" w:eastAsia="宋体" w:cs="仿宋"/>
          <w:sz w:val="24"/>
        </w:rPr>
        <w:t>工艺流程简图</w:t>
      </w:r>
    </w:p>
    <w:p w14:paraId="0DEAD079">
      <w:pPr>
        <w:spacing w:line="360" w:lineRule="auto"/>
        <w:rPr>
          <w:rFonts w:hint="eastAsia" w:ascii="宋体" w:hAnsi="宋体" w:eastAsia="宋体" w:cs="仿宋"/>
          <w:sz w:val="24"/>
        </w:rPr>
      </w:pPr>
      <w:r>
        <w:drawing>
          <wp:inline distT="0" distB="0" distL="0" distR="0">
            <wp:extent cx="5270500" cy="1826895"/>
            <wp:effectExtent l="0" t="0" r="6350" b="1905"/>
            <wp:docPr id="7411981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198199" name="图片 1"/>
                    <pic:cNvPicPr>
                      <a:picLocks noChangeAspect="1"/>
                    </pic:cNvPicPr>
                  </pic:nvPicPr>
                  <pic:blipFill>
                    <a:blip r:embed="rId18"/>
                    <a:stretch>
                      <a:fillRect/>
                    </a:stretch>
                  </pic:blipFill>
                  <pic:spPr>
                    <a:xfrm>
                      <a:off x="0" y="0"/>
                      <a:ext cx="5270500" cy="1826895"/>
                    </a:xfrm>
                    <a:prstGeom prst="rect">
                      <a:avLst/>
                    </a:prstGeom>
                  </pic:spPr>
                </pic:pic>
              </a:graphicData>
            </a:graphic>
          </wp:inline>
        </w:drawing>
      </w:r>
    </w:p>
    <w:p w14:paraId="044C5EB1">
      <w:pPr>
        <w:pStyle w:val="44"/>
        <w:numPr>
          <w:ilvl w:val="0"/>
          <w:numId w:val="10"/>
        </w:numPr>
        <w:spacing w:line="360" w:lineRule="auto"/>
        <w:ind w:firstLineChars="0"/>
        <w:rPr>
          <w:rFonts w:hint="eastAsia" w:ascii="宋体" w:hAnsi="宋体" w:eastAsia="宋体" w:cs="仿宋"/>
          <w:sz w:val="24"/>
        </w:rPr>
      </w:pPr>
      <w:r>
        <w:rPr>
          <w:rFonts w:hint="eastAsia" w:ascii="宋体" w:hAnsi="宋体" w:eastAsia="宋体" w:cs="仿宋"/>
          <w:sz w:val="24"/>
        </w:rPr>
        <w:t>设备技术参数要求</w:t>
      </w:r>
    </w:p>
    <w:p w14:paraId="00D970A4">
      <w:pPr>
        <w:pStyle w:val="44"/>
        <w:numPr>
          <w:ilvl w:val="0"/>
          <w:numId w:val="12"/>
        </w:numPr>
        <w:spacing w:line="360" w:lineRule="auto"/>
        <w:ind w:left="0" w:firstLine="480"/>
        <w:rPr>
          <w:rFonts w:hint="eastAsia" w:ascii="宋体" w:hAnsi="宋体" w:eastAsia="宋体" w:cs="仿宋"/>
          <w:sz w:val="24"/>
        </w:rPr>
      </w:pPr>
      <w:r>
        <w:rPr>
          <w:rFonts w:hint="eastAsia" w:ascii="宋体" w:hAnsi="宋体" w:eastAsia="宋体" w:cs="仿宋"/>
          <w:sz w:val="24"/>
        </w:rPr>
        <w:t>净水量：480m³/d</w:t>
      </w:r>
    </w:p>
    <w:p w14:paraId="30C2E9DE">
      <w:pPr>
        <w:pStyle w:val="44"/>
        <w:numPr>
          <w:ilvl w:val="0"/>
          <w:numId w:val="12"/>
        </w:numPr>
        <w:spacing w:line="360" w:lineRule="auto"/>
        <w:ind w:left="0" w:firstLine="480"/>
        <w:rPr>
          <w:rFonts w:hint="eastAsia" w:ascii="宋体" w:hAnsi="宋体" w:eastAsia="宋体" w:cs="仿宋"/>
          <w:sz w:val="24"/>
        </w:rPr>
      </w:pPr>
      <w:r>
        <w:rPr>
          <w:rFonts w:hint="eastAsia" w:ascii="宋体" w:hAnsi="宋体" w:eastAsia="宋体" w:cs="仿宋"/>
          <w:sz w:val="24"/>
        </w:rPr>
        <w:t>原水浊度：≤1500mg/L，短期可达3000mg/L</w:t>
      </w:r>
    </w:p>
    <w:p w14:paraId="4092BC85">
      <w:pPr>
        <w:pStyle w:val="44"/>
        <w:numPr>
          <w:ilvl w:val="0"/>
          <w:numId w:val="12"/>
        </w:numPr>
        <w:spacing w:line="360" w:lineRule="auto"/>
        <w:ind w:left="0" w:firstLine="480"/>
        <w:rPr>
          <w:rFonts w:hint="eastAsia" w:ascii="宋体" w:hAnsi="宋体" w:eastAsia="宋体" w:cs="仿宋"/>
          <w:sz w:val="24"/>
        </w:rPr>
      </w:pPr>
      <w:r>
        <w:rPr>
          <w:rFonts w:hint="eastAsia" w:ascii="宋体" w:hAnsi="宋体" w:eastAsia="宋体" w:cs="仿宋"/>
          <w:sz w:val="24"/>
        </w:rPr>
        <w:t>出水浊度：≤1mg/L（特殊情况≤3mg/L）</w:t>
      </w:r>
    </w:p>
    <w:p w14:paraId="58571B9C">
      <w:pPr>
        <w:pStyle w:val="44"/>
        <w:numPr>
          <w:ilvl w:val="0"/>
          <w:numId w:val="12"/>
        </w:numPr>
        <w:spacing w:line="360" w:lineRule="auto"/>
        <w:ind w:left="0" w:firstLine="480"/>
        <w:rPr>
          <w:rFonts w:hint="eastAsia" w:ascii="宋体" w:hAnsi="宋体" w:eastAsia="宋体" w:cs="仿宋"/>
          <w:sz w:val="24"/>
        </w:rPr>
      </w:pPr>
      <w:r>
        <w:rPr>
          <w:rFonts w:hint="eastAsia" w:ascii="宋体" w:hAnsi="宋体" w:eastAsia="宋体" w:cs="仿宋"/>
          <w:sz w:val="24"/>
        </w:rPr>
        <w:t>反映时间：11.64min</w:t>
      </w:r>
    </w:p>
    <w:p w14:paraId="20CB1760">
      <w:pPr>
        <w:pStyle w:val="44"/>
        <w:numPr>
          <w:ilvl w:val="0"/>
          <w:numId w:val="12"/>
        </w:numPr>
        <w:spacing w:line="360" w:lineRule="auto"/>
        <w:ind w:left="0" w:firstLine="480"/>
        <w:rPr>
          <w:rFonts w:hint="eastAsia" w:ascii="宋体" w:hAnsi="宋体" w:eastAsia="宋体" w:cs="仿宋"/>
          <w:sz w:val="24"/>
        </w:rPr>
      </w:pPr>
      <w:r>
        <w:rPr>
          <w:rFonts w:hint="eastAsia" w:ascii="宋体" w:hAnsi="宋体" w:eastAsia="宋体" w:cs="仿宋"/>
          <w:sz w:val="24"/>
        </w:rPr>
        <w:t>沉淀区上升流速：2.5mm/s</w:t>
      </w:r>
    </w:p>
    <w:p w14:paraId="2A4C8057">
      <w:pPr>
        <w:pStyle w:val="44"/>
        <w:numPr>
          <w:ilvl w:val="0"/>
          <w:numId w:val="12"/>
        </w:numPr>
        <w:spacing w:line="360" w:lineRule="auto"/>
        <w:ind w:left="0" w:firstLine="480"/>
        <w:rPr>
          <w:rFonts w:hint="eastAsia" w:ascii="宋体" w:hAnsi="宋体" w:eastAsia="宋体" w:cs="仿宋"/>
          <w:sz w:val="24"/>
        </w:rPr>
      </w:pPr>
      <w:r>
        <w:rPr>
          <w:rFonts w:hint="eastAsia" w:ascii="宋体" w:hAnsi="宋体" w:eastAsia="宋体" w:cs="仿宋"/>
          <w:sz w:val="24"/>
        </w:rPr>
        <w:t>过滤速度：11.05m/h</w:t>
      </w:r>
    </w:p>
    <w:p w14:paraId="53E44180">
      <w:pPr>
        <w:pStyle w:val="44"/>
        <w:numPr>
          <w:ilvl w:val="0"/>
          <w:numId w:val="12"/>
        </w:numPr>
        <w:spacing w:line="360" w:lineRule="auto"/>
        <w:ind w:left="0" w:firstLine="480"/>
        <w:rPr>
          <w:rFonts w:hint="eastAsia" w:ascii="宋体" w:hAnsi="宋体" w:eastAsia="宋体" w:cs="仿宋"/>
          <w:sz w:val="24"/>
        </w:rPr>
      </w:pPr>
      <w:r>
        <w:rPr>
          <w:rFonts w:hint="eastAsia" w:ascii="宋体" w:hAnsi="宋体" w:eastAsia="宋体" w:cs="仿宋"/>
          <w:sz w:val="24"/>
        </w:rPr>
        <w:t>滤料：均质石英砂滤料</w:t>
      </w:r>
    </w:p>
    <w:p w14:paraId="76B1B8AB">
      <w:pPr>
        <w:pStyle w:val="44"/>
        <w:numPr>
          <w:ilvl w:val="0"/>
          <w:numId w:val="12"/>
        </w:numPr>
        <w:spacing w:line="360" w:lineRule="auto"/>
        <w:ind w:left="0" w:firstLine="480"/>
        <w:rPr>
          <w:rFonts w:hint="eastAsia" w:ascii="宋体" w:hAnsi="宋体" w:eastAsia="宋体" w:cs="仿宋"/>
          <w:sz w:val="24"/>
        </w:rPr>
      </w:pPr>
      <w:r>
        <w:rPr>
          <w:rFonts w:hint="eastAsia" w:ascii="宋体" w:hAnsi="宋体" w:eastAsia="宋体" w:cs="仿宋"/>
          <w:sz w:val="24"/>
        </w:rPr>
        <w:t>滤层高度：≥1m</w:t>
      </w:r>
    </w:p>
    <w:p w14:paraId="1B066AEA">
      <w:pPr>
        <w:pStyle w:val="44"/>
        <w:numPr>
          <w:ilvl w:val="0"/>
          <w:numId w:val="12"/>
        </w:numPr>
        <w:spacing w:line="360" w:lineRule="auto"/>
        <w:ind w:left="0" w:firstLine="480"/>
        <w:rPr>
          <w:rFonts w:hint="eastAsia" w:ascii="宋体" w:hAnsi="宋体" w:eastAsia="宋体" w:cs="仿宋"/>
          <w:sz w:val="24"/>
        </w:rPr>
      </w:pPr>
      <w:r>
        <w:rPr>
          <w:rFonts w:hint="eastAsia" w:ascii="宋体" w:hAnsi="宋体" w:eastAsia="宋体" w:cs="仿宋"/>
          <w:sz w:val="24"/>
        </w:rPr>
        <w:t>冲洗强度：12~16L/㎡·s</w:t>
      </w:r>
    </w:p>
    <w:p w14:paraId="604050F9">
      <w:pPr>
        <w:pStyle w:val="44"/>
        <w:numPr>
          <w:ilvl w:val="0"/>
          <w:numId w:val="12"/>
        </w:numPr>
        <w:spacing w:line="360" w:lineRule="auto"/>
        <w:ind w:left="0" w:firstLine="480"/>
        <w:rPr>
          <w:rFonts w:hint="eastAsia" w:ascii="宋体" w:hAnsi="宋体" w:eastAsia="宋体" w:cs="仿宋"/>
          <w:sz w:val="24"/>
        </w:rPr>
      </w:pPr>
      <w:r>
        <w:rPr>
          <w:rFonts w:hint="eastAsia" w:ascii="宋体" w:hAnsi="宋体" w:eastAsia="宋体" w:cs="仿宋"/>
          <w:sz w:val="24"/>
        </w:rPr>
        <w:t>冲洗时间： 5~8min</w:t>
      </w:r>
    </w:p>
    <w:p w14:paraId="1E6F429E">
      <w:pPr>
        <w:pStyle w:val="44"/>
        <w:numPr>
          <w:ilvl w:val="0"/>
          <w:numId w:val="12"/>
        </w:numPr>
        <w:spacing w:line="360" w:lineRule="auto"/>
        <w:ind w:left="0" w:firstLine="480"/>
        <w:rPr>
          <w:rFonts w:hint="eastAsia" w:ascii="宋体" w:hAnsi="宋体" w:eastAsia="宋体" w:cs="仿宋"/>
          <w:sz w:val="24"/>
        </w:rPr>
      </w:pPr>
      <w:r>
        <w:rPr>
          <w:rFonts w:hint="eastAsia" w:ascii="宋体" w:hAnsi="宋体" w:eastAsia="宋体" w:cs="仿宋"/>
          <w:sz w:val="24"/>
        </w:rPr>
        <w:t>最大水头损失：2.5m</w:t>
      </w:r>
    </w:p>
    <w:p w14:paraId="2D5B58ED">
      <w:pPr>
        <w:pStyle w:val="44"/>
        <w:numPr>
          <w:ilvl w:val="0"/>
          <w:numId w:val="12"/>
        </w:numPr>
        <w:spacing w:line="360" w:lineRule="auto"/>
        <w:ind w:left="0" w:firstLine="480"/>
        <w:rPr>
          <w:rFonts w:hint="eastAsia" w:ascii="宋体" w:hAnsi="宋体" w:eastAsia="宋体" w:cs="仿宋"/>
          <w:sz w:val="24"/>
        </w:rPr>
      </w:pPr>
      <w:r>
        <w:rPr>
          <w:rFonts w:hint="eastAsia" w:ascii="宋体" w:hAnsi="宋体" w:eastAsia="宋体" w:cs="仿宋"/>
          <w:sz w:val="24"/>
        </w:rPr>
        <w:t>最小进水水头：8.0m</w:t>
      </w:r>
    </w:p>
    <w:p w14:paraId="246F5869">
      <w:pPr>
        <w:pStyle w:val="44"/>
        <w:numPr>
          <w:ilvl w:val="0"/>
          <w:numId w:val="10"/>
        </w:numPr>
        <w:spacing w:line="360" w:lineRule="auto"/>
        <w:ind w:firstLineChars="0"/>
        <w:rPr>
          <w:rFonts w:hint="eastAsia" w:ascii="宋体" w:hAnsi="宋体" w:eastAsia="宋体" w:cs="仿宋"/>
          <w:sz w:val="24"/>
        </w:rPr>
      </w:pPr>
      <w:r>
        <w:rPr>
          <w:rFonts w:hint="eastAsia" w:ascii="宋体" w:hAnsi="宋体" w:eastAsia="宋体" w:cs="仿宋"/>
          <w:sz w:val="24"/>
        </w:rPr>
        <w:t>工作原理</w:t>
      </w:r>
    </w:p>
    <w:p w14:paraId="5E9F8597">
      <w:pPr>
        <w:spacing w:line="360" w:lineRule="auto"/>
        <w:rPr>
          <w:rFonts w:hint="eastAsia" w:ascii="宋体" w:hAnsi="宋体" w:eastAsia="宋体" w:cs="仿宋"/>
          <w:sz w:val="24"/>
        </w:rPr>
      </w:pPr>
      <w:r>
        <w:drawing>
          <wp:inline distT="0" distB="0" distL="0" distR="0">
            <wp:extent cx="5270500" cy="1471930"/>
            <wp:effectExtent l="0" t="0" r="6350" b="0"/>
            <wp:docPr id="14965949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594986" name="图片 1"/>
                    <pic:cNvPicPr>
                      <a:picLocks noChangeAspect="1"/>
                    </pic:cNvPicPr>
                  </pic:nvPicPr>
                  <pic:blipFill>
                    <a:blip r:embed="rId19"/>
                    <a:stretch>
                      <a:fillRect/>
                    </a:stretch>
                  </pic:blipFill>
                  <pic:spPr>
                    <a:xfrm>
                      <a:off x="0" y="0"/>
                      <a:ext cx="5270500" cy="1471930"/>
                    </a:xfrm>
                    <a:prstGeom prst="rect">
                      <a:avLst/>
                    </a:prstGeom>
                  </pic:spPr>
                </pic:pic>
              </a:graphicData>
            </a:graphic>
          </wp:inline>
        </w:drawing>
      </w:r>
    </w:p>
    <w:p w14:paraId="28D4DCB4">
      <w:pPr>
        <w:spacing w:line="360" w:lineRule="auto"/>
        <w:ind w:firstLine="480" w:firstLineChars="200"/>
        <w:rPr>
          <w:rFonts w:hint="eastAsia" w:ascii="宋体" w:hAnsi="宋体" w:eastAsia="宋体" w:cs="Arial"/>
          <w:color w:val="333333"/>
          <w:sz w:val="24"/>
          <w:shd w:val="clear" w:color="auto" w:fill="FFFFFF"/>
        </w:rPr>
      </w:pPr>
      <w:r>
        <w:rPr>
          <w:rFonts w:hint="eastAsia" w:ascii="宋体" w:hAnsi="宋体" w:eastAsia="宋体" w:cs="Arial"/>
          <w:color w:val="333333"/>
          <w:sz w:val="24"/>
          <w:shd w:val="clear" w:color="auto" w:fill="FFFFFF"/>
        </w:rPr>
        <w:t>混凝剂的投加：混凝剂的投加，是根据原水浊度的变化，经投药设备控制投加混凝剂的数量，使混凝剂投加更优化，保证出水浊度。</w:t>
      </w:r>
    </w:p>
    <w:p w14:paraId="0923BFFC">
      <w:pPr>
        <w:spacing w:line="360" w:lineRule="auto"/>
        <w:ind w:firstLine="480" w:firstLineChars="200"/>
        <w:rPr>
          <w:rFonts w:hint="eastAsia" w:ascii="宋体" w:hAnsi="宋体" w:eastAsia="宋体" w:cs="Arial"/>
          <w:color w:val="333333"/>
          <w:sz w:val="24"/>
          <w:shd w:val="clear" w:color="auto" w:fill="FFFFFF"/>
        </w:rPr>
      </w:pPr>
      <w:r>
        <w:rPr>
          <w:rFonts w:hint="eastAsia" w:ascii="宋体" w:hAnsi="宋体" w:eastAsia="宋体" w:cs="Arial"/>
          <w:color w:val="333333"/>
          <w:sz w:val="24"/>
          <w:shd w:val="clear" w:color="auto" w:fill="FFFFFF"/>
        </w:rPr>
        <w:t>混合：混凝剂投加到原水中，经混合器将原水与混凝剂快速混合，混凝剂充分均匀地扩散于水体中，为后续混凝反应创造有利条件。</w:t>
      </w:r>
    </w:p>
    <w:p w14:paraId="3B88CAD0">
      <w:pPr>
        <w:spacing w:line="360" w:lineRule="auto"/>
        <w:ind w:firstLine="480" w:firstLineChars="200"/>
        <w:rPr>
          <w:rFonts w:hint="eastAsia" w:ascii="宋体" w:hAnsi="宋体" w:eastAsia="宋体" w:cs="Arial"/>
          <w:color w:val="333333"/>
          <w:sz w:val="24"/>
          <w:shd w:val="clear" w:color="auto" w:fill="FFFFFF"/>
        </w:rPr>
      </w:pPr>
      <w:r>
        <w:rPr>
          <w:rFonts w:hint="eastAsia" w:ascii="宋体" w:hAnsi="宋体" w:eastAsia="宋体" w:cs="Arial"/>
          <w:color w:val="333333"/>
          <w:sz w:val="24"/>
          <w:shd w:val="clear" w:color="auto" w:fill="FFFFFF"/>
        </w:rPr>
        <w:t xml:space="preserve">混凝反应：混合后的原水经混凝反应后，水中杂质悬浮物及胶体颗粒经反应生成均匀粗大的矾花，以利于后续的固液分离。 </w:t>
      </w:r>
    </w:p>
    <w:p w14:paraId="09D9641C">
      <w:pPr>
        <w:spacing w:line="360" w:lineRule="auto"/>
        <w:ind w:firstLine="480" w:firstLineChars="200"/>
        <w:rPr>
          <w:rFonts w:hint="eastAsia" w:ascii="宋体" w:hAnsi="宋体" w:eastAsia="宋体" w:cs="Arial"/>
          <w:color w:val="333333"/>
          <w:sz w:val="24"/>
          <w:shd w:val="clear" w:color="auto" w:fill="FFFFFF"/>
        </w:rPr>
      </w:pPr>
      <w:r>
        <w:rPr>
          <w:rFonts w:hint="eastAsia" w:ascii="宋体" w:hAnsi="宋体" w:eastAsia="宋体" w:cs="Arial"/>
          <w:color w:val="333333"/>
          <w:sz w:val="24"/>
          <w:shd w:val="clear" w:color="auto" w:fill="FFFFFF"/>
        </w:rPr>
        <w:t>沉淀：经混凝反应后的水上升至沉淀区，水中矾花在沉淀器中沉淀达到固液分离的目的。</w:t>
      </w:r>
    </w:p>
    <w:p w14:paraId="73E231C7">
      <w:pPr>
        <w:spacing w:line="360" w:lineRule="auto"/>
        <w:ind w:firstLine="480" w:firstLineChars="200"/>
        <w:rPr>
          <w:rFonts w:hint="eastAsia" w:ascii="宋体" w:hAnsi="宋体" w:eastAsia="宋体" w:cs="Arial"/>
          <w:color w:val="333333"/>
          <w:sz w:val="24"/>
          <w:shd w:val="clear" w:color="auto" w:fill="FFFFFF"/>
        </w:rPr>
      </w:pPr>
      <w:r>
        <w:rPr>
          <w:rFonts w:hint="eastAsia" w:ascii="宋体" w:hAnsi="宋体" w:eastAsia="宋体" w:cs="Arial"/>
          <w:color w:val="333333"/>
          <w:sz w:val="24"/>
          <w:shd w:val="clear" w:color="auto" w:fill="FFFFFF"/>
        </w:rPr>
        <w:t>过滤：沉淀后出水经滤池过滤，水中残留的细小矾花被滤层截留保证出水浊度低于1NTU。</w:t>
      </w:r>
    </w:p>
    <w:p w14:paraId="479C948E">
      <w:pPr>
        <w:spacing w:line="360" w:lineRule="auto"/>
        <w:ind w:firstLine="480" w:firstLineChars="200"/>
        <w:rPr>
          <w:rFonts w:hint="eastAsia" w:ascii="宋体" w:hAnsi="宋体" w:eastAsia="宋体" w:cs="Arial"/>
          <w:color w:val="333333"/>
          <w:sz w:val="24"/>
          <w:shd w:val="clear" w:color="auto" w:fill="FFFFFF"/>
        </w:rPr>
      </w:pPr>
      <w:r>
        <w:rPr>
          <w:rFonts w:hint="eastAsia" w:ascii="宋体" w:hAnsi="宋体" w:eastAsia="宋体" w:cs="Arial"/>
          <w:color w:val="333333"/>
          <w:sz w:val="24"/>
          <w:shd w:val="clear" w:color="auto" w:fill="FFFFFF"/>
        </w:rPr>
        <w:t>反冲洗：过滤器工作一段时间后，滤层中截留的污物达到相当的量时，过滤层过滤阻力增大，造成过滤水量减少。这时设备自动对滤层进行反冲洗，把滤层中截留的污物反冲到排污沟排放，恢复滤池的过滤能力。</w:t>
      </w:r>
    </w:p>
    <w:p w14:paraId="5CFBEFC3">
      <w:pPr>
        <w:spacing w:line="360" w:lineRule="auto"/>
        <w:ind w:firstLine="480" w:firstLineChars="200"/>
        <w:rPr>
          <w:rFonts w:hint="eastAsia" w:ascii="宋体" w:hAnsi="宋体" w:eastAsia="宋体" w:cs="仿宋"/>
          <w:sz w:val="24"/>
        </w:rPr>
      </w:pPr>
      <w:r>
        <w:rPr>
          <w:rFonts w:hint="eastAsia" w:ascii="宋体" w:hAnsi="宋体" w:eastAsia="宋体" w:cs="Arial"/>
          <w:color w:val="333333"/>
          <w:sz w:val="24"/>
          <w:shd w:val="clear" w:color="auto" w:fill="FFFFFF"/>
        </w:rPr>
        <w:t>消毒：过滤出水经投加消毒剂后流入清水箱。</w:t>
      </w:r>
    </w:p>
    <w:p w14:paraId="08CA2BEF">
      <w:pPr>
        <w:pStyle w:val="3"/>
        <w:spacing w:before="0" w:after="0" w:line="360" w:lineRule="auto"/>
        <w:rPr>
          <w:rFonts w:ascii="宋体" w:hAnsi="宋体" w:eastAsia="宋体"/>
          <w:sz w:val="28"/>
          <w:szCs w:val="28"/>
        </w:rPr>
      </w:pPr>
      <w:bookmarkStart w:id="209" w:name="_Toc175233359"/>
      <w:bookmarkStart w:id="210" w:name="_Toc173574205"/>
      <w:r>
        <w:rPr>
          <w:rFonts w:hint="eastAsia" w:ascii="宋体" w:hAnsi="宋体" w:eastAsia="宋体"/>
          <w:sz w:val="28"/>
          <w:szCs w:val="28"/>
        </w:rPr>
        <w:t>水源地设备安装点位及供配电建设</w:t>
      </w:r>
      <w:bookmarkEnd w:id="209"/>
    </w:p>
    <w:bookmarkEnd w:id="152"/>
    <w:bookmarkEnd w:id="210"/>
    <w:p w14:paraId="66CB9311">
      <w:pPr>
        <w:spacing w:line="360" w:lineRule="auto"/>
        <w:ind w:firstLine="480" w:firstLineChars="200"/>
        <w:rPr>
          <w:rFonts w:hint="eastAsia" w:ascii="宋体" w:hAnsi="宋体" w:eastAsia="宋体" w:cs="Arial"/>
          <w:color w:val="333333"/>
          <w:sz w:val="24"/>
          <w:shd w:val="clear" w:color="auto" w:fill="FFFFFF"/>
        </w:rPr>
      </w:pPr>
      <w:r>
        <w:rPr>
          <w:rFonts w:hint="eastAsia" w:ascii="宋体" w:hAnsi="宋体" w:eastAsia="宋体" w:cs="Arial"/>
          <w:color w:val="333333"/>
          <w:sz w:val="24"/>
          <w:shd w:val="clear" w:color="auto" w:fill="FFFFFF"/>
        </w:rPr>
        <w:t>湟中区各水源地统计如下：</w:t>
      </w:r>
    </w:p>
    <w:tbl>
      <w:tblPr>
        <w:tblStyle w:val="36"/>
        <w:tblW w:w="5187" w:type="pct"/>
        <w:tblInd w:w="-3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7"/>
        <w:gridCol w:w="1274"/>
        <w:gridCol w:w="710"/>
        <w:gridCol w:w="850"/>
        <w:gridCol w:w="989"/>
        <w:gridCol w:w="850"/>
        <w:gridCol w:w="3594"/>
      </w:tblGrid>
      <w:tr w14:paraId="69DBA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5000" w:type="pct"/>
            <w:gridSpan w:val="7"/>
            <w:tcBorders>
              <w:tl2br w:val="nil"/>
              <w:tr2bl w:val="nil"/>
            </w:tcBorders>
            <w:shd w:val="clear" w:color="auto" w:fill="auto"/>
            <w:noWrap/>
            <w:vAlign w:val="center"/>
          </w:tcPr>
          <w:p w14:paraId="2AD5DF13">
            <w:pPr>
              <w:widowControl/>
              <w:spacing w:line="360" w:lineRule="auto"/>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湟中区水源地统计表</w:t>
            </w:r>
          </w:p>
        </w:tc>
      </w:tr>
      <w:tr w14:paraId="75546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321" w:type="pct"/>
            <w:vMerge w:val="restart"/>
            <w:tcBorders>
              <w:tl2br w:val="nil"/>
              <w:tr2bl w:val="nil"/>
            </w:tcBorders>
            <w:shd w:val="clear" w:color="auto" w:fill="auto"/>
            <w:vAlign w:val="center"/>
          </w:tcPr>
          <w:p w14:paraId="2A5428AA">
            <w:pPr>
              <w:widowControl/>
              <w:spacing w:line="360" w:lineRule="auto"/>
              <w:jc w:val="center"/>
              <w:rPr>
                <w:rFonts w:hint="eastAsia" w:ascii="宋体" w:hAnsi="宋体" w:eastAsia="宋体" w:cs="宋体"/>
                <w:b/>
                <w:bCs/>
                <w:kern w:val="0"/>
                <w:sz w:val="21"/>
                <w:szCs w:val="21"/>
              </w:rPr>
            </w:pPr>
            <w:r>
              <w:rPr>
                <w:rFonts w:hint="eastAsia" w:ascii="宋体" w:hAnsi="宋体" w:eastAsia="宋体" w:cs="宋体"/>
                <w:b/>
                <w:bCs/>
                <w:kern w:val="0"/>
                <w:sz w:val="21"/>
                <w:szCs w:val="21"/>
              </w:rPr>
              <w:t>序号</w:t>
            </w:r>
          </w:p>
        </w:tc>
        <w:tc>
          <w:tcPr>
            <w:tcW w:w="721" w:type="pct"/>
            <w:vMerge w:val="restart"/>
            <w:tcBorders>
              <w:tl2br w:val="nil"/>
              <w:tr2bl w:val="nil"/>
            </w:tcBorders>
            <w:shd w:val="clear" w:color="auto" w:fill="auto"/>
            <w:vAlign w:val="center"/>
          </w:tcPr>
          <w:p w14:paraId="79A8DD8B">
            <w:pPr>
              <w:widowControl/>
              <w:spacing w:line="360" w:lineRule="auto"/>
              <w:jc w:val="center"/>
              <w:rPr>
                <w:rFonts w:hint="eastAsia" w:ascii="宋体" w:hAnsi="宋体" w:eastAsia="宋体" w:cs="宋体"/>
                <w:b/>
                <w:bCs/>
                <w:kern w:val="0"/>
                <w:sz w:val="21"/>
                <w:szCs w:val="21"/>
              </w:rPr>
            </w:pPr>
            <w:r>
              <w:rPr>
                <w:rFonts w:hint="eastAsia" w:ascii="宋体" w:hAnsi="宋体" w:eastAsia="宋体" w:cs="宋体"/>
                <w:b/>
                <w:bCs/>
                <w:kern w:val="0"/>
                <w:sz w:val="21"/>
                <w:szCs w:val="21"/>
              </w:rPr>
              <w:t>水源地名称</w:t>
            </w:r>
          </w:p>
        </w:tc>
        <w:tc>
          <w:tcPr>
            <w:tcW w:w="402" w:type="pct"/>
            <w:vMerge w:val="restart"/>
            <w:tcBorders>
              <w:tl2br w:val="nil"/>
              <w:tr2bl w:val="nil"/>
            </w:tcBorders>
            <w:shd w:val="clear" w:color="auto" w:fill="auto"/>
            <w:vAlign w:val="center"/>
          </w:tcPr>
          <w:p w14:paraId="5E480AE4">
            <w:pPr>
              <w:widowControl/>
              <w:spacing w:line="360" w:lineRule="auto"/>
              <w:jc w:val="center"/>
              <w:rPr>
                <w:rFonts w:hint="eastAsia" w:ascii="宋体" w:hAnsi="宋体" w:eastAsia="宋体" w:cs="宋体"/>
                <w:b/>
                <w:bCs/>
                <w:kern w:val="0"/>
                <w:sz w:val="21"/>
                <w:szCs w:val="21"/>
              </w:rPr>
            </w:pPr>
            <w:r>
              <w:rPr>
                <w:rFonts w:hint="eastAsia" w:ascii="宋体" w:hAnsi="宋体" w:eastAsia="宋体" w:cs="宋体"/>
                <w:b/>
                <w:bCs/>
                <w:kern w:val="0"/>
                <w:sz w:val="21"/>
                <w:szCs w:val="21"/>
              </w:rPr>
              <w:t>水源   类型</w:t>
            </w:r>
          </w:p>
        </w:tc>
        <w:tc>
          <w:tcPr>
            <w:tcW w:w="481" w:type="pct"/>
            <w:vMerge w:val="restart"/>
            <w:tcBorders>
              <w:tl2br w:val="nil"/>
              <w:tr2bl w:val="nil"/>
            </w:tcBorders>
            <w:shd w:val="clear" w:color="auto" w:fill="auto"/>
            <w:vAlign w:val="center"/>
          </w:tcPr>
          <w:p w14:paraId="0CD6AE2A">
            <w:pPr>
              <w:widowControl/>
              <w:spacing w:line="360" w:lineRule="auto"/>
              <w:jc w:val="center"/>
              <w:rPr>
                <w:rFonts w:hint="eastAsia" w:ascii="宋体" w:hAnsi="宋体" w:eastAsia="宋体" w:cs="宋体"/>
                <w:b/>
                <w:bCs/>
                <w:kern w:val="0"/>
                <w:sz w:val="21"/>
                <w:szCs w:val="21"/>
              </w:rPr>
            </w:pPr>
            <w:r>
              <w:rPr>
                <w:rFonts w:hint="eastAsia" w:ascii="宋体" w:hAnsi="宋体" w:eastAsia="宋体" w:cs="宋体"/>
                <w:b/>
                <w:bCs/>
                <w:kern w:val="0"/>
                <w:sz w:val="21"/>
                <w:szCs w:val="21"/>
              </w:rPr>
              <w:t>供水   人口（人）</w:t>
            </w:r>
          </w:p>
        </w:tc>
        <w:tc>
          <w:tcPr>
            <w:tcW w:w="560" w:type="pct"/>
            <w:vMerge w:val="restart"/>
            <w:tcBorders>
              <w:tl2br w:val="nil"/>
              <w:tr2bl w:val="nil"/>
            </w:tcBorders>
            <w:shd w:val="clear" w:color="auto" w:fill="auto"/>
            <w:vAlign w:val="center"/>
          </w:tcPr>
          <w:p w14:paraId="22E432DD">
            <w:pPr>
              <w:widowControl/>
              <w:spacing w:line="360" w:lineRule="auto"/>
              <w:jc w:val="center"/>
              <w:rPr>
                <w:rFonts w:hint="eastAsia" w:ascii="宋体" w:hAnsi="宋体" w:eastAsia="宋体" w:cs="宋体"/>
                <w:b/>
                <w:bCs/>
                <w:kern w:val="0"/>
                <w:sz w:val="21"/>
                <w:szCs w:val="21"/>
              </w:rPr>
            </w:pPr>
            <w:r>
              <w:rPr>
                <w:rFonts w:hint="eastAsia" w:ascii="宋体" w:hAnsi="宋体" w:eastAsia="宋体" w:cs="宋体"/>
                <w:b/>
                <w:bCs/>
                <w:kern w:val="0"/>
                <w:sz w:val="21"/>
                <w:szCs w:val="21"/>
              </w:rPr>
              <w:t>设计供水规模（m</w:t>
            </w:r>
            <w:r>
              <w:rPr>
                <w:rFonts w:hint="eastAsia" w:ascii="宋体" w:hAnsi="宋体" w:eastAsia="宋体" w:cs="宋体"/>
                <w:b/>
                <w:bCs/>
                <w:kern w:val="0"/>
                <w:sz w:val="21"/>
                <w:szCs w:val="21"/>
                <w:vertAlign w:val="superscript"/>
              </w:rPr>
              <w:t>3</w:t>
            </w:r>
            <w:r>
              <w:rPr>
                <w:rFonts w:hint="eastAsia" w:ascii="宋体" w:hAnsi="宋体" w:eastAsia="宋体" w:cs="宋体"/>
                <w:b/>
                <w:bCs/>
                <w:kern w:val="0"/>
                <w:sz w:val="21"/>
                <w:szCs w:val="21"/>
              </w:rPr>
              <w:t>/d）</w:t>
            </w:r>
          </w:p>
        </w:tc>
        <w:tc>
          <w:tcPr>
            <w:tcW w:w="2516" w:type="pct"/>
            <w:gridSpan w:val="2"/>
            <w:tcBorders>
              <w:tl2br w:val="nil"/>
              <w:tr2bl w:val="nil"/>
            </w:tcBorders>
            <w:shd w:val="clear" w:color="auto" w:fill="auto"/>
            <w:vAlign w:val="center"/>
          </w:tcPr>
          <w:p w14:paraId="27800534">
            <w:pPr>
              <w:widowControl/>
              <w:spacing w:line="360" w:lineRule="auto"/>
              <w:jc w:val="center"/>
              <w:rPr>
                <w:rFonts w:hint="eastAsia" w:ascii="宋体" w:hAnsi="宋体" w:eastAsia="宋体" w:cs="宋体"/>
                <w:b/>
                <w:bCs/>
                <w:kern w:val="0"/>
                <w:sz w:val="21"/>
                <w:szCs w:val="21"/>
              </w:rPr>
            </w:pPr>
            <w:r>
              <w:rPr>
                <w:rFonts w:hint="eastAsia" w:ascii="宋体" w:hAnsi="宋体" w:eastAsia="宋体" w:cs="宋体"/>
                <w:b/>
                <w:bCs/>
                <w:kern w:val="0"/>
                <w:sz w:val="21"/>
                <w:szCs w:val="21"/>
              </w:rPr>
              <w:t>受益行政村</w:t>
            </w:r>
          </w:p>
        </w:tc>
      </w:tr>
      <w:tr w14:paraId="24FC6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321" w:type="pct"/>
            <w:vMerge w:val="continue"/>
            <w:tcBorders>
              <w:tl2br w:val="nil"/>
              <w:tr2bl w:val="nil"/>
            </w:tcBorders>
            <w:vAlign w:val="center"/>
          </w:tcPr>
          <w:p w14:paraId="42554E34">
            <w:pPr>
              <w:widowControl/>
              <w:spacing w:line="360" w:lineRule="auto"/>
              <w:jc w:val="left"/>
              <w:rPr>
                <w:rFonts w:hint="eastAsia" w:ascii="宋体" w:hAnsi="宋体" w:eastAsia="宋体" w:cs="宋体"/>
                <w:b/>
                <w:bCs/>
                <w:kern w:val="0"/>
                <w:sz w:val="21"/>
                <w:szCs w:val="21"/>
              </w:rPr>
            </w:pPr>
          </w:p>
        </w:tc>
        <w:tc>
          <w:tcPr>
            <w:tcW w:w="721" w:type="pct"/>
            <w:vMerge w:val="continue"/>
            <w:tcBorders>
              <w:tl2br w:val="nil"/>
              <w:tr2bl w:val="nil"/>
            </w:tcBorders>
            <w:vAlign w:val="center"/>
          </w:tcPr>
          <w:p w14:paraId="5DA5F808">
            <w:pPr>
              <w:widowControl/>
              <w:spacing w:line="360" w:lineRule="auto"/>
              <w:jc w:val="left"/>
              <w:rPr>
                <w:rFonts w:hint="eastAsia" w:ascii="宋体" w:hAnsi="宋体" w:eastAsia="宋体" w:cs="宋体"/>
                <w:b/>
                <w:bCs/>
                <w:kern w:val="0"/>
                <w:sz w:val="21"/>
                <w:szCs w:val="21"/>
              </w:rPr>
            </w:pPr>
          </w:p>
        </w:tc>
        <w:tc>
          <w:tcPr>
            <w:tcW w:w="402" w:type="pct"/>
            <w:vMerge w:val="continue"/>
            <w:tcBorders>
              <w:tl2br w:val="nil"/>
              <w:tr2bl w:val="nil"/>
            </w:tcBorders>
            <w:vAlign w:val="center"/>
          </w:tcPr>
          <w:p w14:paraId="43292E43">
            <w:pPr>
              <w:widowControl/>
              <w:spacing w:line="360" w:lineRule="auto"/>
              <w:jc w:val="left"/>
              <w:rPr>
                <w:rFonts w:hint="eastAsia" w:ascii="宋体" w:hAnsi="宋体" w:eastAsia="宋体" w:cs="宋体"/>
                <w:b/>
                <w:bCs/>
                <w:kern w:val="0"/>
                <w:sz w:val="21"/>
                <w:szCs w:val="21"/>
              </w:rPr>
            </w:pPr>
          </w:p>
        </w:tc>
        <w:tc>
          <w:tcPr>
            <w:tcW w:w="481" w:type="pct"/>
            <w:vMerge w:val="continue"/>
            <w:tcBorders>
              <w:tl2br w:val="nil"/>
              <w:tr2bl w:val="nil"/>
            </w:tcBorders>
            <w:vAlign w:val="center"/>
          </w:tcPr>
          <w:p w14:paraId="1DE094A3">
            <w:pPr>
              <w:widowControl/>
              <w:spacing w:line="360" w:lineRule="auto"/>
              <w:jc w:val="left"/>
              <w:rPr>
                <w:rFonts w:hint="eastAsia" w:ascii="宋体" w:hAnsi="宋体" w:eastAsia="宋体" w:cs="宋体"/>
                <w:b/>
                <w:bCs/>
                <w:kern w:val="0"/>
                <w:sz w:val="21"/>
                <w:szCs w:val="21"/>
              </w:rPr>
            </w:pPr>
          </w:p>
        </w:tc>
        <w:tc>
          <w:tcPr>
            <w:tcW w:w="560" w:type="pct"/>
            <w:vMerge w:val="continue"/>
            <w:tcBorders>
              <w:tl2br w:val="nil"/>
              <w:tr2bl w:val="nil"/>
            </w:tcBorders>
            <w:vAlign w:val="center"/>
          </w:tcPr>
          <w:p w14:paraId="4BB2F1F4">
            <w:pPr>
              <w:widowControl/>
              <w:spacing w:line="360" w:lineRule="auto"/>
              <w:jc w:val="left"/>
              <w:rPr>
                <w:rFonts w:hint="eastAsia" w:ascii="宋体" w:hAnsi="宋体" w:eastAsia="宋体" w:cs="宋体"/>
                <w:b/>
                <w:bCs/>
                <w:kern w:val="0"/>
                <w:sz w:val="21"/>
                <w:szCs w:val="21"/>
              </w:rPr>
            </w:pPr>
          </w:p>
        </w:tc>
        <w:tc>
          <w:tcPr>
            <w:tcW w:w="481" w:type="pct"/>
            <w:tcBorders>
              <w:tl2br w:val="nil"/>
              <w:tr2bl w:val="nil"/>
            </w:tcBorders>
            <w:shd w:val="clear" w:color="auto" w:fill="auto"/>
            <w:vAlign w:val="center"/>
          </w:tcPr>
          <w:p w14:paraId="2AF8F515">
            <w:pPr>
              <w:widowControl/>
              <w:spacing w:line="360" w:lineRule="auto"/>
              <w:jc w:val="center"/>
              <w:rPr>
                <w:rFonts w:hint="eastAsia" w:ascii="宋体" w:hAnsi="宋体" w:eastAsia="宋体" w:cs="宋体"/>
                <w:b/>
                <w:bCs/>
                <w:kern w:val="0"/>
                <w:sz w:val="21"/>
                <w:szCs w:val="21"/>
              </w:rPr>
            </w:pPr>
            <w:r>
              <w:rPr>
                <w:rFonts w:hint="eastAsia" w:ascii="宋体" w:hAnsi="宋体" w:eastAsia="宋体" w:cs="宋体"/>
                <w:b/>
                <w:bCs/>
                <w:kern w:val="0"/>
                <w:sz w:val="21"/>
                <w:szCs w:val="21"/>
              </w:rPr>
              <w:t>数量（个）</w:t>
            </w:r>
          </w:p>
        </w:tc>
        <w:tc>
          <w:tcPr>
            <w:tcW w:w="2034" w:type="pct"/>
            <w:tcBorders>
              <w:tl2br w:val="nil"/>
              <w:tr2bl w:val="nil"/>
            </w:tcBorders>
            <w:shd w:val="clear" w:color="auto" w:fill="auto"/>
            <w:vAlign w:val="center"/>
          </w:tcPr>
          <w:p w14:paraId="2BDEFF7F">
            <w:pPr>
              <w:widowControl/>
              <w:spacing w:line="360" w:lineRule="auto"/>
              <w:jc w:val="center"/>
              <w:rPr>
                <w:rFonts w:hint="eastAsia" w:ascii="宋体" w:hAnsi="宋体" w:eastAsia="宋体" w:cs="宋体"/>
                <w:b/>
                <w:bCs/>
                <w:kern w:val="0"/>
                <w:sz w:val="21"/>
                <w:szCs w:val="21"/>
              </w:rPr>
            </w:pPr>
            <w:r>
              <w:rPr>
                <w:rFonts w:hint="eastAsia" w:ascii="宋体" w:hAnsi="宋体" w:eastAsia="宋体" w:cs="宋体"/>
                <w:b/>
                <w:bCs/>
                <w:kern w:val="0"/>
                <w:sz w:val="21"/>
                <w:szCs w:val="21"/>
              </w:rPr>
              <w:t>行政村名称</w:t>
            </w:r>
          </w:p>
        </w:tc>
      </w:tr>
      <w:tr w14:paraId="3A29B3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0" w:hRule="atLeast"/>
        </w:trPr>
        <w:tc>
          <w:tcPr>
            <w:tcW w:w="321" w:type="pct"/>
            <w:tcBorders>
              <w:tl2br w:val="nil"/>
              <w:tr2bl w:val="nil"/>
            </w:tcBorders>
            <w:shd w:val="clear" w:color="auto" w:fill="auto"/>
            <w:vAlign w:val="center"/>
          </w:tcPr>
          <w:p w14:paraId="03392285">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1</w:t>
            </w:r>
          </w:p>
        </w:tc>
        <w:tc>
          <w:tcPr>
            <w:tcW w:w="721" w:type="pct"/>
            <w:tcBorders>
              <w:tl2br w:val="nil"/>
              <w:tr2bl w:val="nil"/>
            </w:tcBorders>
            <w:shd w:val="clear" w:color="auto" w:fill="auto"/>
            <w:vAlign w:val="center"/>
          </w:tcPr>
          <w:p w14:paraId="41EDEB4F">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湟中区上五庄镇拉寺目水源地</w:t>
            </w:r>
          </w:p>
        </w:tc>
        <w:tc>
          <w:tcPr>
            <w:tcW w:w="402" w:type="pct"/>
            <w:tcBorders>
              <w:tl2br w:val="nil"/>
              <w:tr2bl w:val="nil"/>
            </w:tcBorders>
            <w:shd w:val="clear" w:color="auto" w:fill="auto"/>
            <w:vAlign w:val="center"/>
          </w:tcPr>
          <w:p w14:paraId="5F6908DF">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地表水</w:t>
            </w:r>
          </w:p>
        </w:tc>
        <w:tc>
          <w:tcPr>
            <w:tcW w:w="481" w:type="pct"/>
            <w:tcBorders>
              <w:tl2br w:val="nil"/>
              <w:tr2bl w:val="nil"/>
            </w:tcBorders>
            <w:shd w:val="clear" w:color="auto" w:fill="auto"/>
            <w:vAlign w:val="center"/>
          </w:tcPr>
          <w:p w14:paraId="5B863551">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 xml:space="preserve">41269 </w:t>
            </w:r>
          </w:p>
        </w:tc>
        <w:tc>
          <w:tcPr>
            <w:tcW w:w="560" w:type="pct"/>
            <w:tcBorders>
              <w:tl2br w:val="nil"/>
              <w:tr2bl w:val="nil"/>
            </w:tcBorders>
            <w:shd w:val="clear" w:color="auto" w:fill="auto"/>
            <w:vAlign w:val="center"/>
          </w:tcPr>
          <w:p w14:paraId="46B84A41">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 xml:space="preserve">7570.00 </w:t>
            </w:r>
          </w:p>
        </w:tc>
        <w:tc>
          <w:tcPr>
            <w:tcW w:w="481" w:type="pct"/>
            <w:tcBorders>
              <w:tl2br w:val="nil"/>
              <w:tr2bl w:val="nil"/>
            </w:tcBorders>
            <w:shd w:val="clear" w:color="auto" w:fill="auto"/>
            <w:vAlign w:val="center"/>
          </w:tcPr>
          <w:p w14:paraId="270573AF">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37</w:t>
            </w:r>
          </w:p>
        </w:tc>
        <w:tc>
          <w:tcPr>
            <w:tcW w:w="2034" w:type="pct"/>
            <w:tcBorders>
              <w:tl2br w:val="nil"/>
              <w:tr2bl w:val="nil"/>
            </w:tcBorders>
            <w:shd w:val="clear" w:color="auto" w:fill="auto"/>
            <w:vAlign w:val="center"/>
          </w:tcPr>
          <w:p w14:paraId="1733D2C6">
            <w:pPr>
              <w:widowControl/>
              <w:spacing w:line="360" w:lineRule="auto"/>
              <w:jc w:val="left"/>
              <w:rPr>
                <w:rFonts w:hint="eastAsia" w:ascii="宋体" w:hAnsi="宋体" w:eastAsia="宋体" w:cs="宋体"/>
                <w:b/>
                <w:bCs/>
                <w:kern w:val="0"/>
                <w:sz w:val="21"/>
                <w:szCs w:val="21"/>
              </w:rPr>
            </w:pPr>
            <w:r>
              <w:rPr>
                <w:rFonts w:hint="eastAsia" w:ascii="宋体" w:hAnsi="宋体" w:eastAsia="宋体" w:cs="宋体"/>
                <w:b/>
                <w:bCs/>
                <w:kern w:val="0"/>
                <w:sz w:val="21"/>
                <w:szCs w:val="21"/>
              </w:rPr>
              <w:t>上五庄镇：</w:t>
            </w:r>
            <w:r>
              <w:rPr>
                <w:rFonts w:hint="eastAsia" w:ascii="宋体" w:hAnsi="宋体" w:eastAsia="宋体" w:cs="宋体"/>
                <w:kern w:val="0"/>
                <w:sz w:val="21"/>
                <w:szCs w:val="21"/>
              </w:rPr>
              <w:t>拉寺目、北庄、华科、邦巴、友爱、峡口、合尔盖、纳卜藏8个村；</w:t>
            </w:r>
            <w:r>
              <w:rPr>
                <w:rFonts w:hint="eastAsia" w:ascii="宋体" w:hAnsi="宋体" w:eastAsia="宋体" w:cs="宋体"/>
                <w:b/>
                <w:bCs/>
                <w:kern w:val="0"/>
                <w:sz w:val="21"/>
                <w:szCs w:val="21"/>
              </w:rPr>
              <w:t>拦隆口镇：</w:t>
            </w:r>
            <w:r>
              <w:rPr>
                <w:rFonts w:hint="eastAsia" w:ascii="宋体" w:hAnsi="宋体" w:eastAsia="宋体" w:cs="宋体"/>
                <w:kern w:val="0"/>
                <w:sz w:val="21"/>
                <w:szCs w:val="21"/>
              </w:rPr>
              <w:t>南门一村、东拉科、拦隆口、上鲁尔加、下鲁尔加、西岔、端巴营、班仲营、扎什营、巴达、新村、上庄、前庄、泥隆口、桥西、千西、千东、铁家营、上营、上寺20个村；</w:t>
            </w:r>
            <w:r>
              <w:rPr>
                <w:rFonts w:hint="eastAsia" w:ascii="宋体" w:hAnsi="宋体" w:eastAsia="宋体" w:cs="宋体"/>
                <w:b/>
                <w:bCs/>
                <w:kern w:val="0"/>
                <w:sz w:val="21"/>
                <w:szCs w:val="21"/>
              </w:rPr>
              <w:t>多巴镇：</w:t>
            </w:r>
            <w:r>
              <w:rPr>
                <w:rFonts w:hint="eastAsia" w:ascii="宋体" w:hAnsi="宋体" w:eastAsia="宋体" w:cs="宋体"/>
                <w:kern w:val="0"/>
                <w:sz w:val="21"/>
                <w:szCs w:val="21"/>
              </w:rPr>
              <w:t>合尔营、玉拉、丹麻寺、奔巴口、油房台、指挥庄、幸福、初哇、沙窝尔9个村。</w:t>
            </w:r>
          </w:p>
        </w:tc>
      </w:tr>
      <w:tr w14:paraId="4293A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21" w:type="pct"/>
            <w:tcBorders>
              <w:tl2br w:val="nil"/>
              <w:tr2bl w:val="nil"/>
            </w:tcBorders>
            <w:shd w:val="clear" w:color="auto" w:fill="auto"/>
            <w:vAlign w:val="center"/>
          </w:tcPr>
          <w:p w14:paraId="6CD31B40">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2</w:t>
            </w:r>
          </w:p>
        </w:tc>
        <w:tc>
          <w:tcPr>
            <w:tcW w:w="721" w:type="pct"/>
            <w:tcBorders>
              <w:tl2br w:val="nil"/>
              <w:tr2bl w:val="nil"/>
            </w:tcBorders>
            <w:shd w:val="clear" w:color="auto" w:fill="auto"/>
            <w:vAlign w:val="center"/>
          </w:tcPr>
          <w:p w14:paraId="79C95AFC">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湟中区李家山镇香林峡水源地</w:t>
            </w:r>
          </w:p>
        </w:tc>
        <w:tc>
          <w:tcPr>
            <w:tcW w:w="402" w:type="pct"/>
            <w:tcBorders>
              <w:tl2br w:val="nil"/>
              <w:tr2bl w:val="nil"/>
            </w:tcBorders>
            <w:shd w:val="clear" w:color="auto" w:fill="auto"/>
            <w:vAlign w:val="center"/>
          </w:tcPr>
          <w:p w14:paraId="3CB475C0">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地表水</w:t>
            </w:r>
          </w:p>
        </w:tc>
        <w:tc>
          <w:tcPr>
            <w:tcW w:w="481" w:type="pct"/>
            <w:vMerge w:val="restart"/>
            <w:tcBorders>
              <w:tl2br w:val="nil"/>
              <w:tr2bl w:val="nil"/>
            </w:tcBorders>
            <w:shd w:val="clear" w:color="auto" w:fill="auto"/>
            <w:vAlign w:val="center"/>
          </w:tcPr>
          <w:p w14:paraId="7216187E">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 xml:space="preserve">43428 </w:t>
            </w:r>
          </w:p>
        </w:tc>
        <w:tc>
          <w:tcPr>
            <w:tcW w:w="560" w:type="pct"/>
            <w:vMerge w:val="restart"/>
            <w:tcBorders>
              <w:tl2br w:val="nil"/>
              <w:tr2bl w:val="nil"/>
            </w:tcBorders>
            <w:shd w:val="clear" w:color="auto" w:fill="auto"/>
            <w:vAlign w:val="center"/>
          </w:tcPr>
          <w:p w14:paraId="54B6A07E">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 xml:space="preserve">4423.00 </w:t>
            </w:r>
          </w:p>
        </w:tc>
        <w:tc>
          <w:tcPr>
            <w:tcW w:w="481" w:type="pct"/>
            <w:vMerge w:val="restart"/>
            <w:tcBorders>
              <w:tl2br w:val="nil"/>
              <w:tr2bl w:val="nil"/>
            </w:tcBorders>
            <w:shd w:val="clear" w:color="auto" w:fill="auto"/>
            <w:vAlign w:val="center"/>
          </w:tcPr>
          <w:p w14:paraId="7D37F263">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53</w:t>
            </w:r>
          </w:p>
        </w:tc>
        <w:tc>
          <w:tcPr>
            <w:tcW w:w="2034" w:type="pct"/>
            <w:vMerge w:val="restart"/>
            <w:tcBorders>
              <w:tl2br w:val="nil"/>
              <w:tr2bl w:val="nil"/>
            </w:tcBorders>
            <w:shd w:val="clear" w:color="auto" w:fill="auto"/>
            <w:vAlign w:val="center"/>
          </w:tcPr>
          <w:p w14:paraId="665AC064">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海子沟乡：景家庄、中庄、杨库托、王家庄、陶家、甘沟、总堡、东沟、阿滩、水滩、普通、万家坪、沟脑、大有山、顾家岭、古城沟、东沟脑、海南庄、薛姓庄、宋家沟共20个村；李家山镇：崖头、董家湾、柳树庄、王家堡、卡约、包家庄、下西河、上西河、新添堡、纳家、岗岔、下坪、上坪、河湾、吉家、甘家、李家山、大路、马营、下油房、勺马营、新庄、阴坡、阳坡、马圈沟、毛尔茨沟、陈家庄、峡口、汉水沟共29个村；拦隆口镇：拦一、拦二、白崖共3个村；多巴镇：大掌村，1个村。</w:t>
            </w:r>
          </w:p>
        </w:tc>
      </w:tr>
      <w:tr w14:paraId="1F3A49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321" w:type="pct"/>
            <w:tcBorders>
              <w:tl2br w:val="nil"/>
              <w:tr2bl w:val="nil"/>
            </w:tcBorders>
            <w:shd w:val="clear" w:color="auto" w:fill="auto"/>
            <w:vAlign w:val="center"/>
          </w:tcPr>
          <w:p w14:paraId="34E32B0D">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3</w:t>
            </w:r>
          </w:p>
        </w:tc>
        <w:tc>
          <w:tcPr>
            <w:tcW w:w="721" w:type="pct"/>
            <w:tcBorders>
              <w:tl2br w:val="nil"/>
              <w:tr2bl w:val="nil"/>
            </w:tcBorders>
            <w:shd w:val="clear" w:color="auto" w:fill="auto"/>
            <w:vAlign w:val="center"/>
          </w:tcPr>
          <w:p w14:paraId="09F758D5">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湟中区云谷川水库水源地</w:t>
            </w:r>
          </w:p>
        </w:tc>
        <w:tc>
          <w:tcPr>
            <w:tcW w:w="402" w:type="pct"/>
            <w:tcBorders>
              <w:tl2br w:val="nil"/>
              <w:tr2bl w:val="nil"/>
            </w:tcBorders>
            <w:shd w:val="clear" w:color="auto" w:fill="auto"/>
            <w:vAlign w:val="center"/>
          </w:tcPr>
          <w:p w14:paraId="7117A550">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地表水</w:t>
            </w:r>
          </w:p>
        </w:tc>
        <w:tc>
          <w:tcPr>
            <w:tcW w:w="481" w:type="pct"/>
            <w:vMerge w:val="continue"/>
            <w:tcBorders>
              <w:tl2br w:val="nil"/>
              <w:tr2bl w:val="nil"/>
            </w:tcBorders>
            <w:vAlign w:val="center"/>
          </w:tcPr>
          <w:p w14:paraId="332DE846">
            <w:pPr>
              <w:widowControl/>
              <w:spacing w:line="360" w:lineRule="auto"/>
              <w:jc w:val="left"/>
              <w:rPr>
                <w:rFonts w:hint="eastAsia" w:ascii="宋体" w:hAnsi="宋体" w:eastAsia="宋体" w:cs="宋体"/>
                <w:kern w:val="0"/>
                <w:sz w:val="21"/>
                <w:szCs w:val="21"/>
              </w:rPr>
            </w:pPr>
          </w:p>
        </w:tc>
        <w:tc>
          <w:tcPr>
            <w:tcW w:w="560" w:type="pct"/>
            <w:vMerge w:val="continue"/>
            <w:tcBorders>
              <w:tl2br w:val="nil"/>
              <w:tr2bl w:val="nil"/>
            </w:tcBorders>
            <w:vAlign w:val="center"/>
          </w:tcPr>
          <w:p w14:paraId="033482CD">
            <w:pPr>
              <w:widowControl/>
              <w:spacing w:line="360" w:lineRule="auto"/>
              <w:jc w:val="left"/>
              <w:rPr>
                <w:rFonts w:hint="eastAsia" w:ascii="宋体" w:hAnsi="宋体" w:eastAsia="宋体" w:cs="宋体"/>
                <w:kern w:val="0"/>
                <w:sz w:val="21"/>
                <w:szCs w:val="21"/>
              </w:rPr>
            </w:pPr>
          </w:p>
        </w:tc>
        <w:tc>
          <w:tcPr>
            <w:tcW w:w="481" w:type="pct"/>
            <w:vMerge w:val="continue"/>
            <w:tcBorders>
              <w:tl2br w:val="nil"/>
              <w:tr2bl w:val="nil"/>
            </w:tcBorders>
            <w:vAlign w:val="center"/>
          </w:tcPr>
          <w:p w14:paraId="108A9CE3">
            <w:pPr>
              <w:widowControl/>
              <w:spacing w:line="360" w:lineRule="auto"/>
              <w:jc w:val="left"/>
              <w:rPr>
                <w:rFonts w:hint="eastAsia" w:ascii="宋体" w:hAnsi="宋体" w:eastAsia="宋体" w:cs="宋体"/>
                <w:kern w:val="0"/>
                <w:sz w:val="21"/>
                <w:szCs w:val="21"/>
              </w:rPr>
            </w:pPr>
          </w:p>
        </w:tc>
        <w:tc>
          <w:tcPr>
            <w:tcW w:w="2034" w:type="pct"/>
            <w:vMerge w:val="continue"/>
            <w:tcBorders>
              <w:tl2br w:val="nil"/>
              <w:tr2bl w:val="nil"/>
            </w:tcBorders>
            <w:vAlign w:val="center"/>
          </w:tcPr>
          <w:p w14:paraId="30B15C9A">
            <w:pPr>
              <w:widowControl/>
              <w:spacing w:line="360" w:lineRule="auto"/>
              <w:jc w:val="left"/>
              <w:rPr>
                <w:rFonts w:hint="eastAsia" w:ascii="宋体" w:hAnsi="宋体" w:eastAsia="宋体" w:cs="宋体"/>
                <w:kern w:val="0"/>
                <w:sz w:val="21"/>
                <w:szCs w:val="21"/>
              </w:rPr>
            </w:pPr>
          </w:p>
        </w:tc>
      </w:tr>
      <w:tr w14:paraId="2E718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trPr>
        <w:tc>
          <w:tcPr>
            <w:tcW w:w="321" w:type="pct"/>
            <w:tcBorders>
              <w:tl2br w:val="nil"/>
              <w:tr2bl w:val="nil"/>
            </w:tcBorders>
            <w:shd w:val="clear" w:color="auto" w:fill="auto"/>
            <w:vAlign w:val="center"/>
          </w:tcPr>
          <w:p w14:paraId="1A31E11C">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4</w:t>
            </w:r>
          </w:p>
        </w:tc>
        <w:tc>
          <w:tcPr>
            <w:tcW w:w="721" w:type="pct"/>
            <w:tcBorders>
              <w:tl2br w:val="nil"/>
              <w:tr2bl w:val="nil"/>
            </w:tcBorders>
            <w:shd w:val="clear" w:color="auto" w:fill="auto"/>
            <w:vAlign w:val="center"/>
          </w:tcPr>
          <w:p w14:paraId="0695BFE0">
            <w:pPr>
              <w:widowControl/>
              <w:spacing w:line="360" w:lineRule="auto"/>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湟中区李家山镇九眼泉水源地（备用水源）</w:t>
            </w:r>
          </w:p>
        </w:tc>
        <w:tc>
          <w:tcPr>
            <w:tcW w:w="402" w:type="pct"/>
            <w:tcBorders>
              <w:tl2br w:val="nil"/>
              <w:tr2bl w:val="nil"/>
            </w:tcBorders>
            <w:shd w:val="clear" w:color="auto" w:fill="auto"/>
            <w:vAlign w:val="center"/>
          </w:tcPr>
          <w:p w14:paraId="39EE998A">
            <w:pPr>
              <w:widowControl/>
              <w:spacing w:line="360" w:lineRule="auto"/>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地表水</w:t>
            </w:r>
          </w:p>
        </w:tc>
        <w:tc>
          <w:tcPr>
            <w:tcW w:w="481" w:type="pct"/>
            <w:vMerge w:val="continue"/>
            <w:tcBorders>
              <w:tl2br w:val="nil"/>
              <w:tr2bl w:val="nil"/>
            </w:tcBorders>
            <w:vAlign w:val="center"/>
          </w:tcPr>
          <w:p w14:paraId="11852092">
            <w:pPr>
              <w:widowControl/>
              <w:spacing w:line="360" w:lineRule="auto"/>
              <w:jc w:val="left"/>
              <w:rPr>
                <w:rFonts w:hint="eastAsia" w:ascii="宋体" w:hAnsi="宋体" w:eastAsia="宋体" w:cs="宋体"/>
                <w:kern w:val="0"/>
                <w:sz w:val="21"/>
                <w:szCs w:val="21"/>
              </w:rPr>
            </w:pPr>
          </w:p>
        </w:tc>
        <w:tc>
          <w:tcPr>
            <w:tcW w:w="560" w:type="pct"/>
            <w:vMerge w:val="continue"/>
            <w:tcBorders>
              <w:tl2br w:val="nil"/>
              <w:tr2bl w:val="nil"/>
            </w:tcBorders>
            <w:vAlign w:val="center"/>
          </w:tcPr>
          <w:p w14:paraId="3B3F47EC">
            <w:pPr>
              <w:widowControl/>
              <w:spacing w:line="360" w:lineRule="auto"/>
              <w:jc w:val="left"/>
              <w:rPr>
                <w:rFonts w:hint="eastAsia" w:ascii="宋体" w:hAnsi="宋体" w:eastAsia="宋体" w:cs="宋体"/>
                <w:kern w:val="0"/>
                <w:sz w:val="21"/>
                <w:szCs w:val="21"/>
              </w:rPr>
            </w:pPr>
          </w:p>
        </w:tc>
        <w:tc>
          <w:tcPr>
            <w:tcW w:w="481" w:type="pct"/>
            <w:vMerge w:val="continue"/>
            <w:tcBorders>
              <w:tl2br w:val="nil"/>
              <w:tr2bl w:val="nil"/>
            </w:tcBorders>
            <w:vAlign w:val="center"/>
          </w:tcPr>
          <w:p w14:paraId="05B6FC22">
            <w:pPr>
              <w:widowControl/>
              <w:spacing w:line="360" w:lineRule="auto"/>
              <w:jc w:val="left"/>
              <w:rPr>
                <w:rFonts w:hint="eastAsia" w:ascii="宋体" w:hAnsi="宋体" w:eastAsia="宋体" w:cs="宋体"/>
                <w:kern w:val="0"/>
                <w:sz w:val="21"/>
                <w:szCs w:val="21"/>
              </w:rPr>
            </w:pPr>
          </w:p>
        </w:tc>
        <w:tc>
          <w:tcPr>
            <w:tcW w:w="2034" w:type="pct"/>
            <w:vMerge w:val="continue"/>
            <w:tcBorders>
              <w:tl2br w:val="nil"/>
              <w:tr2bl w:val="nil"/>
            </w:tcBorders>
            <w:vAlign w:val="center"/>
          </w:tcPr>
          <w:p w14:paraId="57F35E32">
            <w:pPr>
              <w:widowControl/>
              <w:spacing w:line="360" w:lineRule="auto"/>
              <w:jc w:val="left"/>
              <w:rPr>
                <w:rFonts w:hint="eastAsia" w:ascii="宋体" w:hAnsi="宋体" w:eastAsia="宋体" w:cs="宋体"/>
                <w:kern w:val="0"/>
                <w:sz w:val="21"/>
                <w:szCs w:val="21"/>
              </w:rPr>
            </w:pPr>
          </w:p>
        </w:tc>
      </w:tr>
      <w:tr w14:paraId="5D2CF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trPr>
        <w:tc>
          <w:tcPr>
            <w:tcW w:w="321" w:type="pct"/>
            <w:tcBorders>
              <w:tl2br w:val="nil"/>
              <w:tr2bl w:val="nil"/>
            </w:tcBorders>
            <w:shd w:val="clear" w:color="auto" w:fill="auto"/>
            <w:vAlign w:val="center"/>
          </w:tcPr>
          <w:p w14:paraId="54492F08">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5</w:t>
            </w:r>
          </w:p>
        </w:tc>
        <w:tc>
          <w:tcPr>
            <w:tcW w:w="721" w:type="pct"/>
            <w:tcBorders>
              <w:tl2br w:val="nil"/>
              <w:tr2bl w:val="nil"/>
            </w:tcBorders>
            <w:shd w:val="clear" w:color="auto" w:fill="auto"/>
            <w:vAlign w:val="center"/>
          </w:tcPr>
          <w:p w14:paraId="169E33FB">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湟中区田家寨镇流水沟水源地</w:t>
            </w:r>
          </w:p>
        </w:tc>
        <w:tc>
          <w:tcPr>
            <w:tcW w:w="402" w:type="pct"/>
            <w:tcBorders>
              <w:tl2br w:val="nil"/>
              <w:tr2bl w:val="nil"/>
            </w:tcBorders>
            <w:shd w:val="clear" w:color="auto" w:fill="auto"/>
            <w:vAlign w:val="center"/>
          </w:tcPr>
          <w:p w14:paraId="4E3CD124">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地表水</w:t>
            </w:r>
          </w:p>
        </w:tc>
        <w:tc>
          <w:tcPr>
            <w:tcW w:w="481" w:type="pct"/>
            <w:vMerge w:val="restart"/>
            <w:tcBorders>
              <w:tl2br w:val="nil"/>
              <w:tr2bl w:val="nil"/>
            </w:tcBorders>
            <w:shd w:val="clear" w:color="auto" w:fill="auto"/>
            <w:vAlign w:val="center"/>
          </w:tcPr>
          <w:p w14:paraId="0E302B52">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 xml:space="preserve">19221 </w:t>
            </w:r>
          </w:p>
        </w:tc>
        <w:tc>
          <w:tcPr>
            <w:tcW w:w="560" w:type="pct"/>
            <w:vMerge w:val="restart"/>
            <w:tcBorders>
              <w:tl2br w:val="nil"/>
              <w:tr2bl w:val="nil"/>
            </w:tcBorders>
            <w:shd w:val="clear" w:color="auto" w:fill="auto"/>
            <w:vAlign w:val="center"/>
          </w:tcPr>
          <w:p w14:paraId="68FAA913">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 xml:space="preserve">1713.00 </w:t>
            </w:r>
          </w:p>
        </w:tc>
        <w:tc>
          <w:tcPr>
            <w:tcW w:w="481" w:type="pct"/>
            <w:vMerge w:val="restart"/>
            <w:tcBorders>
              <w:tl2br w:val="nil"/>
              <w:tr2bl w:val="nil"/>
            </w:tcBorders>
            <w:shd w:val="clear" w:color="auto" w:fill="auto"/>
            <w:vAlign w:val="center"/>
          </w:tcPr>
          <w:p w14:paraId="73353842">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19</w:t>
            </w:r>
          </w:p>
        </w:tc>
        <w:tc>
          <w:tcPr>
            <w:tcW w:w="2034" w:type="pct"/>
            <w:vMerge w:val="restart"/>
            <w:tcBorders>
              <w:tl2br w:val="nil"/>
              <w:tr2bl w:val="nil"/>
            </w:tcBorders>
            <w:shd w:val="clear" w:color="auto" w:fill="auto"/>
            <w:vAlign w:val="center"/>
          </w:tcPr>
          <w:p w14:paraId="5BBC2D91">
            <w:pPr>
              <w:widowControl/>
              <w:spacing w:line="360" w:lineRule="auto"/>
              <w:jc w:val="left"/>
              <w:rPr>
                <w:rFonts w:hint="eastAsia" w:ascii="宋体" w:hAnsi="宋体" w:eastAsia="宋体" w:cs="宋体"/>
                <w:b/>
                <w:bCs/>
                <w:kern w:val="0"/>
                <w:sz w:val="21"/>
                <w:szCs w:val="21"/>
              </w:rPr>
            </w:pPr>
            <w:r>
              <w:rPr>
                <w:rFonts w:hint="eastAsia" w:ascii="宋体" w:hAnsi="宋体" w:eastAsia="宋体" w:cs="宋体"/>
                <w:b/>
                <w:bCs/>
                <w:kern w:val="0"/>
                <w:sz w:val="21"/>
                <w:szCs w:val="21"/>
              </w:rPr>
              <w:t>田家寨镇：</w:t>
            </w:r>
            <w:r>
              <w:rPr>
                <w:rFonts w:hint="eastAsia" w:ascii="宋体" w:hAnsi="宋体" w:eastAsia="宋体" w:cs="宋体"/>
                <w:kern w:val="0"/>
                <w:sz w:val="21"/>
                <w:szCs w:val="21"/>
              </w:rPr>
              <w:t>群塔、下营一村、窑洞、谢家台、毛家台、泗尔河、田家寨、毛一、毛二、河湾、新村、李家台、梁家、石沟、谢家、大卡阳、小卡阳、马昌沟共18个村；</w:t>
            </w:r>
            <w:r>
              <w:rPr>
                <w:rFonts w:hint="eastAsia" w:ascii="宋体" w:hAnsi="宋体" w:eastAsia="宋体" w:cs="宋体"/>
                <w:b/>
                <w:bCs/>
                <w:kern w:val="0"/>
                <w:sz w:val="21"/>
                <w:szCs w:val="21"/>
              </w:rPr>
              <w:t>土门关乡：</w:t>
            </w:r>
            <w:r>
              <w:rPr>
                <w:rFonts w:hint="eastAsia" w:ascii="宋体" w:hAnsi="宋体" w:eastAsia="宋体" w:cs="宋体"/>
                <w:kern w:val="0"/>
                <w:sz w:val="21"/>
                <w:szCs w:val="21"/>
              </w:rPr>
              <w:t>业隆村1个村。</w:t>
            </w:r>
          </w:p>
        </w:tc>
      </w:tr>
      <w:tr w14:paraId="3F5D1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trPr>
        <w:tc>
          <w:tcPr>
            <w:tcW w:w="321" w:type="pct"/>
            <w:tcBorders>
              <w:tl2br w:val="nil"/>
              <w:tr2bl w:val="nil"/>
            </w:tcBorders>
            <w:shd w:val="clear" w:color="auto" w:fill="auto"/>
            <w:vAlign w:val="center"/>
          </w:tcPr>
          <w:p w14:paraId="21BD1A50">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6</w:t>
            </w:r>
          </w:p>
        </w:tc>
        <w:tc>
          <w:tcPr>
            <w:tcW w:w="721" w:type="pct"/>
            <w:tcBorders>
              <w:tl2br w:val="nil"/>
              <w:tr2bl w:val="nil"/>
            </w:tcBorders>
            <w:shd w:val="clear" w:color="auto" w:fill="auto"/>
            <w:vAlign w:val="center"/>
          </w:tcPr>
          <w:p w14:paraId="6EA740F5">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湟中区小南川水库水源地</w:t>
            </w:r>
          </w:p>
        </w:tc>
        <w:tc>
          <w:tcPr>
            <w:tcW w:w="402" w:type="pct"/>
            <w:tcBorders>
              <w:tl2br w:val="nil"/>
              <w:tr2bl w:val="nil"/>
            </w:tcBorders>
            <w:shd w:val="clear" w:color="auto" w:fill="auto"/>
            <w:vAlign w:val="center"/>
          </w:tcPr>
          <w:p w14:paraId="2173E54D">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地表水</w:t>
            </w:r>
          </w:p>
        </w:tc>
        <w:tc>
          <w:tcPr>
            <w:tcW w:w="481" w:type="pct"/>
            <w:vMerge w:val="continue"/>
            <w:tcBorders>
              <w:tl2br w:val="nil"/>
              <w:tr2bl w:val="nil"/>
            </w:tcBorders>
            <w:vAlign w:val="center"/>
          </w:tcPr>
          <w:p w14:paraId="76307CD5">
            <w:pPr>
              <w:widowControl/>
              <w:spacing w:line="360" w:lineRule="auto"/>
              <w:jc w:val="left"/>
              <w:rPr>
                <w:rFonts w:hint="eastAsia" w:ascii="宋体" w:hAnsi="宋体" w:eastAsia="宋体" w:cs="宋体"/>
                <w:kern w:val="0"/>
                <w:sz w:val="21"/>
                <w:szCs w:val="21"/>
              </w:rPr>
            </w:pPr>
          </w:p>
        </w:tc>
        <w:tc>
          <w:tcPr>
            <w:tcW w:w="560" w:type="pct"/>
            <w:vMerge w:val="continue"/>
            <w:tcBorders>
              <w:tl2br w:val="nil"/>
              <w:tr2bl w:val="nil"/>
            </w:tcBorders>
            <w:vAlign w:val="center"/>
          </w:tcPr>
          <w:p w14:paraId="3D31EA9E">
            <w:pPr>
              <w:widowControl/>
              <w:spacing w:line="360" w:lineRule="auto"/>
              <w:jc w:val="left"/>
              <w:rPr>
                <w:rFonts w:hint="eastAsia" w:ascii="宋体" w:hAnsi="宋体" w:eastAsia="宋体" w:cs="宋体"/>
                <w:kern w:val="0"/>
                <w:sz w:val="21"/>
                <w:szCs w:val="21"/>
              </w:rPr>
            </w:pPr>
          </w:p>
        </w:tc>
        <w:tc>
          <w:tcPr>
            <w:tcW w:w="481" w:type="pct"/>
            <w:vMerge w:val="continue"/>
            <w:tcBorders>
              <w:tl2br w:val="nil"/>
              <w:tr2bl w:val="nil"/>
            </w:tcBorders>
            <w:vAlign w:val="center"/>
          </w:tcPr>
          <w:p w14:paraId="3F029753">
            <w:pPr>
              <w:widowControl/>
              <w:spacing w:line="360" w:lineRule="auto"/>
              <w:jc w:val="left"/>
              <w:rPr>
                <w:rFonts w:hint="eastAsia" w:ascii="宋体" w:hAnsi="宋体" w:eastAsia="宋体" w:cs="宋体"/>
                <w:kern w:val="0"/>
                <w:sz w:val="21"/>
                <w:szCs w:val="21"/>
              </w:rPr>
            </w:pPr>
          </w:p>
        </w:tc>
        <w:tc>
          <w:tcPr>
            <w:tcW w:w="2034" w:type="pct"/>
            <w:vMerge w:val="continue"/>
            <w:tcBorders>
              <w:tl2br w:val="nil"/>
              <w:tr2bl w:val="nil"/>
            </w:tcBorders>
            <w:vAlign w:val="center"/>
          </w:tcPr>
          <w:p w14:paraId="61742284">
            <w:pPr>
              <w:widowControl/>
              <w:spacing w:line="360" w:lineRule="auto"/>
              <w:jc w:val="left"/>
              <w:rPr>
                <w:rFonts w:hint="eastAsia" w:ascii="宋体" w:hAnsi="宋体" w:eastAsia="宋体" w:cs="宋体"/>
                <w:b/>
                <w:bCs/>
                <w:kern w:val="0"/>
                <w:sz w:val="21"/>
                <w:szCs w:val="21"/>
              </w:rPr>
            </w:pPr>
          </w:p>
        </w:tc>
      </w:tr>
      <w:tr w14:paraId="50334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trPr>
        <w:tc>
          <w:tcPr>
            <w:tcW w:w="321" w:type="pct"/>
            <w:tcBorders>
              <w:tl2br w:val="nil"/>
              <w:tr2bl w:val="nil"/>
            </w:tcBorders>
            <w:shd w:val="clear" w:color="auto" w:fill="auto"/>
            <w:vAlign w:val="center"/>
          </w:tcPr>
          <w:p w14:paraId="71C377E9">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7</w:t>
            </w:r>
          </w:p>
        </w:tc>
        <w:tc>
          <w:tcPr>
            <w:tcW w:w="721" w:type="pct"/>
            <w:tcBorders>
              <w:tl2br w:val="nil"/>
              <w:tr2bl w:val="nil"/>
            </w:tcBorders>
            <w:shd w:val="clear" w:color="auto" w:fill="auto"/>
            <w:vAlign w:val="center"/>
          </w:tcPr>
          <w:p w14:paraId="72DC0DDE">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湟中区土门关乡香沟水库水源地</w:t>
            </w:r>
          </w:p>
        </w:tc>
        <w:tc>
          <w:tcPr>
            <w:tcW w:w="402" w:type="pct"/>
            <w:tcBorders>
              <w:tl2br w:val="nil"/>
              <w:tr2bl w:val="nil"/>
            </w:tcBorders>
            <w:shd w:val="clear" w:color="auto" w:fill="auto"/>
            <w:vAlign w:val="center"/>
          </w:tcPr>
          <w:p w14:paraId="7F0CF0F6">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地表水</w:t>
            </w:r>
          </w:p>
        </w:tc>
        <w:tc>
          <w:tcPr>
            <w:tcW w:w="481" w:type="pct"/>
            <w:tcBorders>
              <w:tl2br w:val="nil"/>
              <w:tr2bl w:val="nil"/>
            </w:tcBorders>
            <w:shd w:val="clear" w:color="auto" w:fill="auto"/>
            <w:vAlign w:val="center"/>
          </w:tcPr>
          <w:p w14:paraId="2E84FC30">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 xml:space="preserve">9251 </w:t>
            </w:r>
          </w:p>
        </w:tc>
        <w:tc>
          <w:tcPr>
            <w:tcW w:w="560" w:type="pct"/>
            <w:tcBorders>
              <w:tl2br w:val="nil"/>
              <w:tr2bl w:val="nil"/>
            </w:tcBorders>
            <w:shd w:val="clear" w:color="auto" w:fill="auto"/>
            <w:vAlign w:val="center"/>
          </w:tcPr>
          <w:p w14:paraId="3ECB89CA">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 xml:space="preserve">1356.48 </w:t>
            </w:r>
          </w:p>
        </w:tc>
        <w:tc>
          <w:tcPr>
            <w:tcW w:w="481" w:type="pct"/>
            <w:tcBorders>
              <w:tl2br w:val="nil"/>
              <w:tr2bl w:val="nil"/>
            </w:tcBorders>
            <w:shd w:val="clear" w:color="auto" w:fill="auto"/>
            <w:vAlign w:val="center"/>
          </w:tcPr>
          <w:p w14:paraId="2171E7BF">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13</w:t>
            </w:r>
          </w:p>
        </w:tc>
        <w:tc>
          <w:tcPr>
            <w:tcW w:w="2034" w:type="pct"/>
            <w:tcBorders>
              <w:tl2br w:val="nil"/>
              <w:tr2bl w:val="nil"/>
            </w:tcBorders>
            <w:shd w:val="clear" w:color="auto" w:fill="auto"/>
            <w:vAlign w:val="center"/>
          </w:tcPr>
          <w:p w14:paraId="29D44A4D">
            <w:pPr>
              <w:widowControl/>
              <w:spacing w:line="360" w:lineRule="auto"/>
              <w:jc w:val="left"/>
              <w:rPr>
                <w:rFonts w:hint="eastAsia" w:ascii="宋体" w:hAnsi="宋体" w:eastAsia="宋体" w:cs="宋体"/>
                <w:b/>
                <w:bCs/>
                <w:kern w:val="0"/>
                <w:sz w:val="21"/>
                <w:szCs w:val="21"/>
              </w:rPr>
            </w:pPr>
            <w:r>
              <w:rPr>
                <w:rFonts w:hint="eastAsia" w:ascii="宋体" w:hAnsi="宋体" w:eastAsia="宋体" w:cs="宋体"/>
                <w:b/>
                <w:bCs/>
                <w:kern w:val="0"/>
                <w:sz w:val="21"/>
                <w:szCs w:val="21"/>
              </w:rPr>
              <w:t>土门关乡：</w:t>
            </w:r>
            <w:r>
              <w:rPr>
                <w:rFonts w:hint="eastAsia" w:ascii="宋体" w:hAnsi="宋体" w:eastAsia="宋体" w:cs="宋体"/>
                <w:kern w:val="0"/>
                <w:sz w:val="21"/>
                <w:szCs w:val="21"/>
              </w:rPr>
              <w:t>汪沟尔、上山庄、下山庄、林马、坝沟、加汝尔、牙加、秋子沟、上阿卡、下阿卡共10个村。</w:t>
            </w:r>
            <w:r>
              <w:rPr>
                <w:rFonts w:hint="eastAsia" w:ascii="宋体" w:hAnsi="宋体" w:eastAsia="宋体" w:cs="宋体"/>
                <w:b/>
                <w:bCs/>
                <w:kern w:val="0"/>
                <w:sz w:val="21"/>
                <w:szCs w:val="21"/>
              </w:rPr>
              <w:t>田家寨镇：</w:t>
            </w:r>
            <w:r>
              <w:rPr>
                <w:rFonts w:hint="eastAsia" w:ascii="宋体" w:hAnsi="宋体" w:eastAsia="宋体" w:cs="宋体"/>
                <w:kern w:val="0"/>
                <w:sz w:val="21"/>
                <w:szCs w:val="21"/>
              </w:rPr>
              <w:t>甘家、公牙、喇家村3个村；</w:t>
            </w:r>
            <w:r>
              <w:rPr>
                <w:rFonts w:hint="eastAsia" w:ascii="宋体" w:hAnsi="宋体" w:eastAsia="宋体" w:cs="宋体"/>
                <w:b/>
                <w:bCs/>
                <w:kern w:val="0"/>
                <w:sz w:val="21"/>
                <w:szCs w:val="21"/>
              </w:rPr>
              <w:t>总寨镇：</w:t>
            </w:r>
            <w:r>
              <w:rPr>
                <w:rFonts w:hint="eastAsia" w:ascii="宋体" w:hAnsi="宋体" w:eastAsia="宋体" w:cs="宋体"/>
                <w:kern w:val="0"/>
                <w:sz w:val="21"/>
                <w:szCs w:val="21"/>
              </w:rPr>
              <w:t>莫家沟村、上细沟、下细沟、尕总寨村4个村。</w:t>
            </w:r>
          </w:p>
        </w:tc>
      </w:tr>
      <w:tr w14:paraId="29E22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21" w:type="pct"/>
            <w:tcBorders>
              <w:tl2br w:val="nil"/>
              <w:tr2bl w:val="nil"/>
            </w:tcBorders>
            <w:shd w:val="clear" w:color="auto" w:fill="auto"/>
            <w:vAlign w:val="center"/>
          </w:tcPr>
          <w:p w14:paraId="59B0F23E">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8</w:t>
            </w:r>
          </w:p>
        </w:tc>
        <w:tc>
          <w:tcPr>
            <w:tcW w:w="721" w:type="pct"/>
            <w:tcBorders>
              <w:tl2br w:val="nil"/>
              <w:tr2bl w:val="nil"/>
            </w:tcBorders>
            <w:shd w:val="clear" w:color="auto" w:fill="auto"/>
            <w:vAlign w:val="center"/>
          </w:tcPr>
          <w:p w14:paraId="744A1A93">
            <w:pPr>
              <w:widowControl/>
              <w:spacing w:line="360" w:lineRule="auto"/>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湟中区田家寨镇安宁沟水源地</w:t>
            </w:r>
          </w:p>
        </w:tc>
        <w:tc>
          <w:tcPr>
            <w:tcW w:w="402" w:type="pct"/>
            <w:tcBorders>
              <w:tl2br w:val="nil"/>
              <w:tr2bl w:val="nil"/>
            </w:tcBorders>
            <w:shd w:val="clear" w:color="auto" w:fill="auto"/>
            <w:vAlign w:val="center"/>
          </w:tcPr>
          <w:p w14:paraId="59EA6260">
            <w:pPr>
              <w:widowControl/>
              <w:spacing w:line="360" w:lineRule="auto"/>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地表水</w:t>
            </w:r>
          </w:p>
        </w:tc>
        <w:tc>
          <w:tcPr>
            <w:tcW w:w="481" w:type="pct"/>
            <w:tcBorders>
              <w:tl2br w:val="nil"/>
              <w:tr2bl w:val="nil"/>
            </w:tcBorders>
            <w:shd w:val="clear" w:color="auto" w:fill="auto"/>
            <w:vAlign w:val="center"/>
          </w:tcPr>
          <w:p w14:paraId="0FCCE926">
            <w:pPr>
              <w:widowControl/>
              <w:spacing w:line="360" w:lineRule="auto"/>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xml:space="preserve">4277 </w:t>
            </w:r>
          </w:p>
        </w:tc>
        <w:tc>
          <w:tcPr>
            <w:tcW w:w="560" w:type="pct"/>
            <w:tcBorders>
              <w:tl2br w:val="nil"/>
              <w:tr2bl w:val="nil"/>
            </w:tcBorders>
            <w:shd w:val="clear" w:color="auto" w:fill="auto"/>
            <w:noWrap/>
            <w:vAlign w:val="center"/>
          </w:tcPr>
          <w:p w14:paraId="43191C57">
            <w:pPr>
              <w:widowControl/>
              <w:spacing w:line="360" w:lineRule="auto"/>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xml:space="preserve">1022.70 </w:t>
            </w:r>
          </w:p>
        </w:tc>
        <w:tc>
          <w:tcPr>
            <w:tcW w:w="481" w:type="pct"/>
            <w:tcBorders>
              <w:tl2br w:val="nil"/>
              <w:tr2bl w:val="nil"/>
            </w:tcBorders>
            <w:shd w:val="clear" w:color="auto" w:fill="auto"/>
            <w:noWrap/>
            <w:vAlign w:val="center"/>
          </w:tcPr>
          <w:p w14:paraId="3560FEA9">
            <w:pPr>
              <w:widowControl/>
              <w:spacing w:line="360" w:lineRule="auto"/>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4</w:t>
            </w:r>
          </w:p>
        </w:tc>
        <w:tc>
          <w:tcPr>
            <w:tcW w:w="2034" w:type="pct"/>
            <w:tcBorders>
              <w:tl2br w:val="nil"/>
              <w:tr2bl w:val="nil"/>
            </w:tcBorders>
            <w:shd w:val="clear" w:color="auto" w:fill="auto"/>
            <w:noWrap/>
            <w:vAlign w:val="center"/>
          </w:tcPr>
          <w:p w14:paraId="6516770E">
            <w:pPr>
              <w:widowControl/>
              <w:spacing w:line="360" w:lineRule="auto"/>
              <w:jc w:val="left"/>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田家寨镇:</w:t>
            </w:r>
            <w:r>
              <w:rPr>
                <w:rFonts w:hint="eastAsia" w:ascii="宋体" w:hAnsi="宋体" w:eastAsia="宋体" w:cs="宋体"/>
                <w:color w:val="000000"/>
                <w:kern w:val="0"/>
                <w:sz w:val="21"/>
                <w:szCs w:val="21"/>
              </w:rPr>
              <w:t>安宁、永丰、平台、丹麻村共4个村。</w:t>
            </w:r>
          </w:p>
        </w:tc>
      </w:tr>
      <w:tr w14:paraId="3FE0D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trPr>
        <w:tc>
          <w:tcPr>
            <w:tcW w:w="321" w:type="pct"/>
            <w:tcBorders>
              <w:tl2br w:val="nil"/>
              <w:tr2bl w:val="nil"/>
            </w:tcBorders>
            <w:shd w:val="clear" w:color="auto" w:fill="auto"/>
            <w:vAlign w:val="center"/>
          </w:tcPr>
          <w:p w14:paraId="65536B68">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9</w:t>
            </w:r>
          </w:p>
        </w:tc>
        <w:tc>
          <w:tcPr>
            <w:tcW w:w="721" w:type="pct"/>
            <w:tcBorders>
              <w:tl2br w:val="nil"/>
              <w:tr2bl w:val="nil"/>
            </w:tcBorders>
            <w:shd w:val="clear" w:color="auto" w:fill="auto"/>
            <w:vAlign w:val="center"/>
          </w:tcPr>
          <w:p w14:paraId="4C4C561D">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湟中区共和镇盘道东岔水源地</w:t>
            </w:r>
          </w:p>
        </w:tc>
        <w:tc>
          <w:tcPr>
            <w:tcW w:w="402" w:type="pct"/>
            <w:tcBorders>
              <w:tl2br w:val="nil"/>
              <w:tr2bl w:val="nil"/>
            </w:tcBorders>
            <w:shd w:val="clear" w:color="auto" w:fill="auto"/>
            <w:vAlign w:val="center"/>
          </w:tcPr>
          <w:p w14:paraId="27906E81">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地表水</w:t>
            </w:r>
          </w:p>
        </w:tc>
        <w:tc>
          <w:tcPr>
            <w:tcW w:w="481" w:type="pct"/>
            <w:tcBorders>
              <w:tl2br w:val="nil"/>
              <w:tr2bl w:val="nil"/>
            </w:tcBorders>
            <w:shd w:val="clear" w:color="auto" w:fill="auto"/>
            <w:vAlign w:val="center"/>
          </w:tcPr>
          <w:p w14:paraId="6AEC07C7">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 xml:space="preserve">25054 </w:t>
            </w:r>
          </w:p>
        </w:tc>
        <w:tc>
          <w:tcPr>
            <w:tcW w:w="560" w:type="pct"/>
            <w:tcBorders>
              <w:tl2br w:val="nil"/>
              <w:tr2bl w:val="nil"/>
            </w:tcBorders>
            <w:shd w:val="clear" w:color="auto" w:fill="auto"/>
            <w:vAlign w:val="center"/>
          </w:tcPr>
          <w:p w14:paraId="7BF350FB">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 xml:space="preserve">1755.65 </w:t>
            </w:r>
          </w:p>
        </w:tc>
        <w:tc>
          <w:tcPr>
            <w:tcW w:w="481" w:type="pct"/>
            <w:tcBorders>
              <w:tl2br w:val="nil"/>
              <w:tr2bl w:val="nil"/>
            </w:tcBorders>
            <w:shd w:val="clear" w:color="auto" w:fill="auto"/>
            <w:vAlign w:val="center"/>
          </w:tcPr>
          <w:p w14:paraId="40769868">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23</w:t>
            </w:r>
          </w:p>
        </w:tc>
        <w:tc>
          <w:tcPr>
            <w:tcW w:w="2034" w:type="pct"/>
            <w:tcBorders>
              <w:tl2br w:val="nil"/>
              <w:tr2bl w:val="nil"/>
            </w:tcBorders>
            <w:shd w:val="clear" w:color="auto" w:fill="auto"/>
            <w:vAlign w:val="center"/>
          </w:tcPr>
          <w:p w14:paraId="20C1A4ED">
            <w:pPr>
              <w:widowControl/>
              <w:spacing w:line="360" w:lineRule="auto"/>
              <w:jc w:val="left"/>
              <w:rPr>
                <w:rFonts w:hint="eastAsia" w:ascii="宋体" w:hAnsi="宋体" w:eastAsia="宋体" w:cs="宋体"/>
                <w:b/>
                <w:bCs/>
                <w:kern w:val="0"/>
                <w:sz w:val="21"/>
                <w:szCs w:val="21"/>
              </w:rPr>
            </w:pPr>
            <w:r>
              <w:rPr>
                <w:rFonts w:hint="eastAsia" w:ascii="宋体" w:hAnsi="宋体" w:eastAsia="宋体" w:cs="宋体"/>
                <w:b/>
                <w:bCs/>
                <w:kern w:val="0"/>
                <w:sz w:val="21"/>
                <w:szCs w:val="21"/>
              </w:rPr>
              <w:t>共和镇：</w:t>
            </w:r>
            <w:r>
              <w:rPr>
                <w:rFonts w:hint="eastAsia" w:ascii="宋体" w:hAnsi="宋体" w:eastAsia="宋体" w:cs="宋体"/>
                <w:kern w:val="0"/>
                <w:sz w:val="21"/>
                <w:szCs w:val="21"/>
              </w:rPr>
              <w:t>盘道、北村、南村、新湾、东台、山甲、石城、葱湾、上直沟、尕庄、庄科脑、尖达、押必、萱麻湾、花勒城、大草沟、新庄、后街、河湾、上马申、苏尔吉、转咀、下马申（23户）共23个村。</w:t>
            </w:r>
          </w:p>
        </w:tc>
      </w:tr>
      <w:tr w14:paraId="6F5FD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trPr>
        <w:tc>
          <w:tcPr>
            <w:tcW w:w="321" w:type="pct"/>
            <w:tcBorders>
              <w:tl2br w:val="nil"/>
              <w:tr2bl w:val="nil"/>
            </w:tcBorders>
            <w:shd w:val="clear" w:color="auto" w:fill="auto"/>
            <w:vAlign w:val="center"/>
          </w:tcPr>
          <w:p w14:paraId="2F5BA7A7">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10</w:t>
            </w:r>
          </w:p>
        </w:tc>
        <w:tc>
          <w:tcPr>
            <w:tcW w:w="721" w:type="pct"/>
            <w:tcBorders>
              <w:tl2br w:val="nil"/>
              <w:tr2bl w:val="nil"/>
            </w:tcBorders>
            <w:shd w:val="clear" w:color="auto" w:fill="auto"/>
            <w:vAlign w:val="center"/>
          </w:tcPr>
          <w:p w14:paraId="6A3B7267">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湟中区南朔山水源地</w:t>
            </w:r>
          </w:p>
        </w:tc>
        <w:tc>
          <w:tcPr>
            <w:tcW w:w="402" w:type="pct"/>
            <w:tcBorders>
              <w:tl2br w:val="nil"/>
              <w:tr2bl w:val="nil"/>
            </w:tcBorders>
            <w:shd w:val="clear" w:color="auto" w:fill="auto"/>
            <w:vAlign w:val="center"/>
          </w:tcPr>
          <w:p w14:paraId="05A0D73A">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地表水</w:t>
            </w:r>
          </w:p>
        </w:tc>
        <w:tc>
          <w:tcPr>
            <w:tcW w:w="481" w:type="pct"/>
            <w:tcBorders>
              <w:tl2br w:val="nil"/>
              <w:tr2bl w:val="nil"/>
            </w:tcBorders>
            <w:shd w:val="clear" w:color="auto" w:fill="auto"/>
            <w:noWrap/>
            <w:vAlign w:val="center"/>
          </w:tcPr>
          <w:p w14:paraId="066D7E93">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 xml:space="preserve">16030 </w:t>
            </w:r>
          </w:p>
        </w:tc>
        <w:tc>
          <w:tcPr>
            <w:tcW w:w="560" w:type="pct"/>
            <w:tcBorders>
              <w:tl2br w:val="nil"/>
              <w:tr2bl w:val="nil"/>
            </w:tcBorders>
            <w:shd w:val="clear" w:color="auto" w:fill="auto"/>
            <w:noWrap/>
            <w:vAlign w:val="center"/>
          </w:tcPr>
          <w:p w14:paraId="319D9137">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 xml:space="preserve">5198.00 </w:t>
            </w:r>
          </w:p>
        </w:tc>
        <w:tc>
          <w:tcPr>
            <w:tcW w:w="481" w:type="pct"/>
            <w:tcBorders>
              <w:tl2br w:val="nil"/>
              <w:tr2bl w:val="nil"/>
            </w:tcBorders>
            <w:shd w:val="clear" w:color="auto" w:fill="auto"/>
            <w:noWrap/>
            <w:vAlign w:val="center"/>
          </w:tcPr>
          <w:p w14:paraId="04D8AD39">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12</w:t>
            </w:r>
          </w:p>
        </w:tc>
        <w:tc>
          <w:tcPr>
            <w:tcW w:w="2034" w:type="pct"/>
            <w:tcBorders>
              <w:tl2br w:val="nil"/>
              <w:tr2bl w:val="nil"/>
            </w:tcBorders>
            <w:shd w:val="clear" w:color="auto" w:fill="auto"/>
          </w:tcPr>
          <w:p w14:paraId="077A06B4">
            <w:pPr>
              <w:widowControl/>
              <w:spacing w:line="360" w:lineRule="auto"/>
              <w:jc w:val="left"/>
              <w:rPr>
                <w:rFonts w:hint="eastAsia" w:ascii="宋体" w:hAnsi="宋体" w:eastAsia="宋体" w:cs="宋体"/>
                <w:b/>
                <w:bCs/>
                <w:kern w:val="0"/>
                <w:sz w:val="21"/>
                <w:szCs w:val="21"/>
              </w:rPr>
            </w:pPr>
            <w:r>
              <w:rPr>
                <w:rFonts w:hint="eastAsia" w:ascii="宋体" w:hAnsi="宋体" w:eastAsia="宋体" w:cs="宋体"/>
                <w:b/>
                <w:bCs/>
                <w:kern w:val="0"/>
                <w:sz w:val="21"/>
                <w:szCs w:val="21"/>
              </w:rPr>
              <w:t>大才乡：</w:t>
            </w:r>
            <w:r>
              <w:rPr>
                <w:rFonts w:hint="eastAsia" w:ascii="宋体" w:hAnsi="宋体" w:eastAsia="宋体" w:cs="宋体"/>
                <w:kern w:val="0"/>
                <w:sz w:val="21"/>
                <w:szCs w:val="21"/>
              </w:rPr>
              <w:t>立欠、小磨石沟、中沟、曲渠、马场、大才村共6个村；汉东乡：下麻尔、冰沟、前窑、后窑共4个村；</w:t>
            </w:r>
            <w:r>
              <w:rPr>
                <w:rFonts w:hint="eastAsia" w:ascii="宋体" w:hAnsi="宋体" w:eastAsia="宋体" w:cs="宋体"/>
                <w:b/>
                <w:bCs/>
                <w:kern w:val="0"/>
                <w:sz w:val="21"/>
                <w:szCs w:val="21"/>
              </w:rPr>
              <w:t>多巴镇:</w:t>
            </w:r>
            <w:r>
              <w:rPr>
                <w:rFonts w:hint="eastAsia" w:ascii="宋体" w:hAnsi="宋体" w:eastAsia="宋体" w:cs="宋体"/>
                <w:kern w:val="0"/>
                <w:sz w:val="21"/>
                <w:szCs w:val="21"/>
              </w:rPr>
              <w:t>康城、西宁监狱共1个村；</w:t>
            </w:r>
            <w:r>
              <w:rPr>
                <w:rFonts w:hint="eastAsia" w:ascii="宋体" w:hAnsi="宋体" w:eastAsia="宋体" w:cs="宋体"/>
                <w:b/>
                <w:bCs/>
                <w:kern w:val="0"/>
                <w:sz w:val="21"/>
                <w:szCs w:val="21"/>
              </w:rPr>
              <w:t>鲁沙尔镇：</w:t>
            </w:r>
            <w:r>
              <w:rPr>
                <w:rFonts w:hint="eastAsia" w:ascii="宋体" w:hAnsi="宋体" w:eastAsia="宋体" w:cs="宋体"/>
                <w:kern w:val="0"/>
                <w:sz w:val="21"/>
                <w:szCs w:val="21"/>
              </w:rPr>
              <w:t>下重台共1个村。</w:t>
            </w:r>
          </w:p>
        </w:tc>
      </w:tr>
      <w:tr w14:paraId="55F59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trPr>
        <w:tc>
          <w:tcPr>
            <w:tcW w:w="321" w:type="pct"/>
            <w:tcBorders>
              <w:tl2br w:val="nil"/>
              <w:tr2bl w:val="nil"/>
            </w:tcBorders>
            <w:shd w:val="clear" w:color="auto" w:fill="auto"/>
            <w:vAlign w:val="center"/>
          </w:tcPr>
          <w:p w14:paraId="4A5C73D4">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11</w:t>
            </w:r>
          </w:p>
        </w:tc>
        <w:tc>
          <w:tcPr>
            <w:tcW w:w="721" w:type="pct"/>
            <w:tcBorders>
              <w:tl2br w:val="nil"/>
              <w:tr2bl w:val="nil"/>
            </w:tcBorders>
            <w:shd w:val="clear" w:color="auto" w:fill="auto"/>
            <w:vAlign w:val="center"/>
          </w:tcPr>
          <w:p w14:paraId="57D47AFC">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湟中区拉尔贯水源地</w:t>
            </w:r>
          </w:p>
        </w:tc>
        <w:tc>
          <w:tcPr>
            <w:tcW w:w="402" w:type="pct"/>
            <w:tcBorders>
              <w:tl2br w:val="nil"/>
              <w:tr2bl w:val="nil"/>
            </w:tcBorders>
            <w:shd w:val="clear" w:color="auto" w:fill="auto"/>
            <w:vAlign w:val="center"/>
          </w:tcPr>
          <w:p w14:paraId="0D7EEFC4">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地表水</w:t>
            </w:r>
          </w:p>
        </w:tc>
        <w:tc>
          <w:tcPr>
            <w:tcW w:w="481" w:type="pct"/>
            <w:tcBorders>
              <w:tl2br w:val="nil"/>
              <w:tr2bl w:val="nil"/>
            </w:tcBorders>
            <w:shd w:val="clear" w:color="auto" w:fill="auto"/>
            <w:noWrap/>
            <w:vAlign w:val="center"/>
          </w:tcPr>
          <w:p w14:paraId="59C0D9FD">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 xml:space="preserve">8580 </w:t>
            </w:r>
          </w:p>
        </w:tc>
        <w:tc>
          <w:tcPr>
            <w:tcW w:w="560" w:type="pct"/>
            <w:tcBorders>
              <w:tl2br w:val="nil"/>
              <w:tr2bl w:val="nil"/>
            </w:tcBorders>
            <w:shd w:val="clear" w:color="auto" w:fill="auto"/>
            <w:noWrap/>
            <w:vAlign w:val="center"/>
          </w:tcPr>
          <w:p w14:paraId="5677AA0E">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 xml:space="preserve">1057.50 </w:t>
            </w:r>
          </w:p>
        </w:tc>
        <w:tc>
          <w:tcPr>
            <w:tcW w:w="481" w:type="pct"/>
            <w:tcBorders>
              <w:tl2br w:val="nil"/>
              <w:tr2bl w:val="nil"/>
            </w:tcBorders>
            <w:shd w:val="clear" w:color="auto" w:fill="auto"/>
            <w:noWrap/>
            <w:vAlign w:val="center"/>
          </w:tcPr>
          <w:p w14:paraId="47C3D18C">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9</w:t>
            </w:r>
          </w:p>
        </w:tc>
        <w:tc>
          <w:tcPr>
            <w:tcW w:w="2034" w:type="pct"/>
            <w:tcBorders>
              <w:tl2br w:val="nil"/>
              <w:tr2bl w:val="nil"/>
            </w:tcBorders>
            <w:shd w:val="clear" w:color="auto" w:fill="auto"/>
            <w:vAlign w:val="center"/>
          </w:tcPr>
          <w:p w14:paraId="3E4AC85E">
            <w:pPr>
              <w:widowControl/>
              <w:spacing w:line="360" w:lineRule="auto"/>
              <w:jc w:val="left"/>
              <w:rPr>
                <w:rFonts w:hint="eastAsia" w:ascii="宋体" w:hAnsi="宋体" w:eastAsia="宋体" w:cs="宋体"/>
                <w:b/>
                <w:bCs/>
                <w:kern w:val="0"/>
                <w:sz w:val="21"/>
                <w:szCs w:val="21"/>
              </w:rPr>
            </w:pPr>
            <w:r>
              <w:rPr>
                <w:rFonts w:hint="eastAsia" w:ascii="宋体" w:hAnsi="宋体" w:eastAsia="宋体" w:cs="宋体"/>
                <w:b/>
                <w:bCs/>
                <w:kern w:val="0"/>
                <w:sz w:val="21"/>
                <w:szCs w:val="21"/>
              </w:rPr>
              <w:t>拦隆口镇：</w:t>
            </w:r>
            <w:r>
              <w:rPr>
                <w:rFonts w:hint="eastAsia" w:ascii="宋体" w:hAnsi="宋体" w:eastAsia="宋体" w:cs="宋体"/>
                <w:kern w:val="0"/>
                <w:sz w:val="21"/>
                <w:szCs w:val="21"/>
              </w:rPr>
              <w:t>邦隆共1个村；</w:t>
            </w:r>
            <w:r>
              <w:rPr>
                <w:rFonts w:hint="eastAsia" w:ascii="宋体" w:hAnsi="宋体" w:eastAsia="宋体" w:cs="宋体"/>
                <w:b/>
                <w:bCs/>
                <w:kern w:val="0"/>
                <w:sz w:val="21"/>
                <w:szCs w:val="21"/>
              </w:rPr>
              <w:t>多巴镇：</w:t>
            </w:r>
            <w:r>
              <w:rPr>
                <w:rFonts w:hint="eastAsia" w:ascii="宋体" w:hAnsi="宋体" w:eastAsia="宋体" w:cs="宋体"/>
                <w:kern w:val="0"/>
                <w:sz w:val="21"/>
                <w:szCs w:val="21"/>
              </w:rPr>
              <w:t>尕尔加、中村、杨家台、年家庄、拉卡山、马申茂、尚什家、羊圈共8个村。</w:t>
            </w:r>
          </w:p>
        </w:tc>
      </w:tr>
      <w:tr w14:paraId="66FC4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21" w:type="pct"/>
            <w:tcBorders>
              <w:tl2br w:val="nil"/>
              <w:tr2bl w:val="nil"/>
            </w:tcBorders>
            <w:shd w:val="clear" w:color="auto" w:fill="auto"/>
            <w:vAlign w:val="center"/>
          </w:tcPr>
          <w:p w14:paraId="498F99B0">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12</w:t>
            </w:r>
          </w:p>
        </w:tc>
        <w:tc>
          <w:tcPr>
            <w:tcW w:w="721" w:type="pct"/>
            <w:tcBorders>
              <w:tl2br w:val="nil"/>
              <w:tr2bl w:val="nil"/>
            </w:tcBorders>
            <w:shd w:val="clear" w:color="auto" w:fill="auto"/>
            <w:vAlign w:val="center"/>
          </w:tcPr>
          <w:p w14:paraId="2507BE25">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湟中区盘道水库水源地</w:t>
            </w:r>
          </w:p>
        </w:tc>
        <w:tc>
          <w:tcPr>
            <w:tcW w:w="402" w:type="pct"/>
            <w:tcBorders>
              <w:tl2br w:val="nil"/>
              <w:tr2bl w:val="nil"/>
            </w:tcBorders>
            <w:shd w:val="clear" w:color="auto" w:fill="auto"/>
            <w:vAlign w:val="center"/>
          </w:tcPr>
          <w:p w14:paraId="351656AD">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地表水</w:t>
            </w:r>
          </w:p>
        </w:tc>
        <w:tc>
          <w:tcPr>
            <w:tcW w:w="481" w:type="pct"/>
            <w:tcBorders>
              <w:tl2br w:val="nil"/>
              <w:tr2bl w:val="nil"/>
            </w:tcBorders>
            <w:shd w:val="clear" w:color="auto" w:fill="auto"/>
            <w:noWrap/>
            <w:vAlign w:val="center"/>
          </w:tcPr>
          <w:p w14:paraId="3507FE65">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 xml:space="preserve">11655 </w:t>
            </w:r>
          </w:p>
        </w:tc>
        <w:tc>
          <w:tcPr>
            <w:tcW w:w="560" w:type="pct"/>
            <w:tcBorders>
              <w:tl2br w:val="nil"/>
              <w:tr2bl w:val="nil"/>
            </w:tcBorders>
            <w:shd w:val="clear" w:color="auto" w:fill="auto"/>
            <w:noWrap/>
            <w:vAlign w:val="center"/>
          </w:tcPr>
          <w:p w14:paraId="0EB7307A">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 xml:space="preserve">4976.00 </w:t>
            </w:r>
          </w:p>
        </w:tc>
        <w:tc>
          <w:tcPr>
            <w:tcW w:w="481" w:type="pct"/>
            <w:tcBorders>
              <w:tl2br w:val="nil"/>
              <w:tr2bl w:val="nil"/>
            </w:tcBorders>
            <w:shd w:val="clear" w:color="auto" w:fill="auto"/>
            <w:noWrap/>
            <w:vAlign w:val="center"/>
          </w:tcPr>
          <w:p w14:paraId="24CB6C3F">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8</w:t>
            </w:r>
          </w:p>
        </w:tc>
        <w:tc>
          <w:tcPr>
            <w:tcW w:w="2034" w:type="pct"/>
            <w:tcBorders>
              <w:tl2br w:val="nil"/>
              <w:tr2bl w:val="nil"/>
            </w:tcBorders>
            <w:shd w:val="clear" w:color="auto" w:fill="auto"/>
            <w:vAlign w:val="center"/>
          </w:tcPr>
          <w:p w14:paraId="2B048202">
            <w:pPr>
              <w:widowControl/>
              <w:spacing w:line="360" w:lineRule="auto"/>
              <w:jc w:val="left"/>
              <w:rPr>
                <w:rFonts w:hint="eastAsia" w:ascii="宋体" w:hAnsi="宋体" w:eastAsia="宋体" w:cs="宋体"/>
                <w:b/>
                <w:bCs/>
                <w:kern w:val="0"/>
                <w:sz w:val="21"/>
                <w:szCs w:val="21"/>
              </w:rPr>
            </w:pPr>
            <w:r>
              <w:rPr>
                <w:rFonts w:hint="eastAsia" w:ascii="宋体" w:hAnsi="宋体" w:eastAsia="宋体" w:cs="宋体"/>
                <w:b/>
                <w:bCs/>
                <w:kern w:val="0"/>
                <w:sz w:val="21"/>
                <w:szCs w:val="21"/>
              </w:rPr>
              <w:t>多巴镇：</w:t>
            </w:r>
            <w:r>
              <w:rPr>
                <w:rFonts w:hint="eastAsia" w:ascii="宋体" w:hAnsi="宋体" w:eastAsia="宋体" w:cs="宋体"/>
                <w:kern w:val="0"/>
                <w:sz w:val="21"/>
                <w:szCs w:val="21"/>
              </w:rPr>
              <w:t>城东、城西、城中、银格达、王家庄、丰胜、加拉山、凤凰小区共7个村，1小区；</w:t>
            </w:r>
            <w:r>
              <w:rPr>
                <w:rFonts w:hint="eastAsia" w:ascii="宋体" w:hAnsi="宋体" w:eastAsia="宋体" w:cs="宋体"/>
                <w:b/>
                <w:bCs/>
                <w:kern w:val="0"/>
                <w:sz w:val="21"/>
                <w:szCs w:val="21"/>
              </w:rPr>
              <w:t>共和镇：</w:t>
            </w:r>
            <w:r>
              <w:rPr>
                <w:rFonts w:hint="eastAsia" w:ascii="宋体" w:hAnsi="宋体" w:eastAsia="宋体" w:cs="宋体"/>
                <w:kern w:val="0"/>
                <w:sz w:val="21"/>
                <w:szCs w:val="21"/>
              </w:rPr>
              <w:t>王家山村。</w:t>
            </w:r>
          </w:p>
        </w:tc>
      </w:tr>
      <w:tr w14:paraId="0265E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21" w:type="pct"/>
            <w:tcBorders>
              <w:tl2br w:val="nil"/>
              <w:tr2bl w:val="nil"/>
            </w:tcBorders>
            <w:shd w:val="clear" w:color="auto" w:fill="auto"/>
            <w:vAlign w:val="center"/>
          </w:tcPr>
          <w:p w14:paraId="774B97CC">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13</w:t>
            </w:r>
          </w:p>
        </w:tc>
        <w:tc>
          <w:tcPr>
            <w:tcW w:w="721" w:type="pct"/>
            <w:tcBorders>
              <w:tl2br w:val="nil"/>
              <w:tr2bl w:val="nil"/>
            </w:tcBorders>
            <w:shd w:val="clear" w:color="auto" w:fill="auto"/>
            <w:vAlign w:val="center"/>
          </w:tcPr>
          <w:p w14:paraId="2A0B7076">
            <w:pPr>
              <w:widowControl/>
              <w:spacing w:line="360" w:lineRule="auto"/>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湟中区上新庄镇小马鸡沟（华山）水源地</w:t>
            </w:r>
          </w:p>
        </w:tc>
        <w:tc>
          <w:tcPr>
            <w:tcW w:w="402" w:type="pct"/>
            <w:tcBorders>
              <w:tl2br w:val="nil"/>
              <w:tr2bl w:val="nil"/>
            </w:tcBorders>
            <w:shd w:val="clear" w:color="auto" w:fill="auto"/>
            <w:vAlign w:val="center"/>
          </w:tcPr>
          <w:p w14:paraId="13E62261">
            <w:pPr>
              <w:widowControl/>
              <w:spacing w:line="360" w:lineRule="auto"/>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地表水</w:t>
            </w:r>
          </w:p>
        </w:tc>
        <w:tc>
          <w:tcPr>
            <w:tcW w:w="481" w:type="pct"/>
            <w:tcBorders>
              <w:tl2br w:val="nil"/>
              <w:tr2bl w:val="nil"/>
            </w:tcBorders>
            <w:shd w:val="clear" w:color="auto" w:fill="auto"/>
            <w:vAlign w:val="center"/>
          </w:tcPr>
          <w:p w14:paraId="7EC1AFF6">
            <w:pPr>
              <w:widowControl/>
              <w:spacing w:line="360" w:lineRule="auto"/>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xml:space="preserve">5738 </w:t>
            </w:r>
          </w:p>
        </w:tc>
        <w:tc>
          <w:tcPr>
            <w:tcW w:w="560" w:type="pct"/>
            <w:tcBorders>
              <w:tl2br w:val="nil"/>
              <w:tr2bl w:val="nil"/>
            </w:tcBorders>
            <w:shd w:val="clear" w:color="auto" w:fill="auto"/>
            <w:noWrap/>
            <w:vAlign w:val="center"/>
          </w:tcPr>
          <w:p w14:paraId="67887091">
            <w:pPr>
              <w:widowControl/>
              <w:spacing w:line="360" w:lineRule="auto"/>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xml:space="preserve">1285.32 </w:t>
            </w:r>
          </w:p>
        </w:tc>
        <w:tc>
          <w:tcPr>
            <w:tcW w:w="481" w:type="pct"/>
            <w:tcBorders>
              <w:tl2br w:val="nil"/>
              <w:tr2bl w:val="nil"/>
            </w:tcBorders>
            <w:shd w:val="clear" w:color="auto" w:fill="auto"/>
            <w:noWrap/>
            <w:vAlign w:val="center"/>
          </w:tcPr>
          <w:p w14:paraId="785362C8">
            <w:pPr>
              <w:widowControl/>
              <w:spacing w:line="360" w:lineRule="auto"/>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6</w:t>
            </w:r>
          </w:p>
        </w:tc>
        <w:tc>
          <w:tcPr>
            <w:tcW w:w="2034" w:type="pct"/>
            <w:tcBorders>
              <w:tl2br w:val="nil"/>
              <w:tr2bl w:val="nil"/>
            </w:tcBorders>
            <w:shd w:val="clear" w:color="auto" w:fill="auto"/>
            <w:vAlign w:val="center"/>
          </w:tcPr>
          <w:p w14:paraId="32019961">
            <w:pPr>
              <w:widowControl/>
              <w:spacing w:line="360" w:lineRule="auto"/>
              <w:jc w:val="left"/>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上新庄镇</w:t>
            </w:r>
            <w:r>
              <w:rPr>
                <w:rFonts w:hint="eastAsia" w:ascii="宋体" w:hAnsi="宋体" w:eastAsia="宋体" w:cs="宋体"/>
                <w:color w:val="000000"/>
                <w:kern w:val="0"/>
                <w:sz w:val="21"/>
                <w:szCs w:val="21"/>
              </w:rPr>
              <w:t>：刘小庄、地光、红牙合、西庄、马家滩、桦山村共6个村。</w:t>
            </w:r>
          </w:p>
        </w:tc>
      </w:tr>
      <w:tr w14:paraId="2B982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trPr>
        <w:tc>
          <w:tcPr>
            <w:tcW w:w="321" w:type="pct"/>
            <w:tcBorders>
              <w:tl2br w:val="nil"/>
              <w:tr2bl w:val="nil"/>
            </w:tcBorders>
            <w:shd w:val="clear" w:color="auto" w:fill="auto"/>
            <w:vAlign w:val="center"/>
          </w:tcPr>
          <w:p w14:paraId="1A9503D7">
            <w:pPr>
              <w:widowControl/>
              <w:spacing w:line="360" w:lineRule="auto"/>
              <w:jc w:val="center"/>
              <w:rPr>
                <w:rFonts w:hint="eastAsia" w:ascii="宋体" w:hAnsi="宋体" w:eastAsia="宋体" w:cs="宋体"/>
                <w:kern w:val="0"/>
                <w:sz w:val="21"/>
                <w:szCs w:val="21"/>
              </w:rPr>
            </w:pPr>
            <w:r>
              <w:rPr>
                <w:rFonts w:hint="eastAsia" w:ascii="宋体" w:hAnsi="宋体" w:eastAsia="宋体" w:cs="宋体"/>
                <w:kern w:val="0"/>
                <w:sz w:val="21"/>
                <w:szCs w:val="21"/>
              </w:rPr>
              <w:t>14</w:t>
            </w:r>
          </w:p>
        </w:tc>
        <w:tc>
          <w:tcPr>
            <w:tcW w:w="721" w:type="pct"/>
            <w:tcBorders>
              <w:tl2br w:val="nil"/>
              <w:tr2bl w:val="nil"/>
            </w:tcBorders>
            <w:shd w:val="clear" w:color="auto" w:fill="auto"/>
            <w:vAlign w:val="center"/>
          </w:tcPr>
          <w:p w14:paraId="61C10F52">
            <w:pPr>
              <w:widowControl/>
              <w:spacing w:line="360" w:lineRule="auto"/>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湟中区上新庄镇加牙水源地</w:t>
            </w:r>
          </w:p>
        </w:tc>
        <w:tc>
          <w:tcPr>
            <w:tcW w:w="402" w:type="pct"/>
            <w:tcBorders>
              <w:tl2br w:val="nil"/>
              <w:tr2bl w:val="nil"/>
            </w:tcBorders>
            <w:shd w:val="clear" w:color="auto" w:fill="auto"/>
            <w:vAlign w:val="center"/>
          </w:tcPr>
          <w:p w14:paraId="4675A0D1">
            <w:pPr>
              <w:widowControl/>
              <w:spacing w:line="360" w:lineRule="auto"/>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地表水</w:t>
            </w:r>
          </w:p>
        </w:tc>
        <w:tc>
          <w:tcPr>
            <w:tcW w:w="481" w:type="pct"/>
            <w:tcBorders>
              <w:tl2br w:val="nil"/>
              <w:tr2bl w:val="nil"/>
            </w:tcBorders>
            <w:shd w:val="clear" w:color="auto" w:fill="auto"/>
            <w:noWrap/>
            <w:vAlign w:val="center"/>
          </w:tcPr>
          <w:p w14:paraId="29A75E93">
            <w:pPr>
              <w:widowControl/>
              <w:spacing w:line="360" w:lineRule="auto"/>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xml:space="preserve">7278 </w:t>
            </w:r>
          </w:p>
        </w:tc>
        <w:tc>
          <w:tcPr>
            <w:tcW w:w="560" w:type="pct"/>
            <w:tcBorders>
              <w:tl2br w:val="nil"/>
              <w:tr2bl w:val="nil"/>
            </w:tcBorders>
            <w:shd w:val="clear" w:color="auto" w:fill="auto"/>
            <w:noWrap/>
            <w:vAlign w:val="center"/>
          </w:tcPr>
          <w:p w14:paraId="14E3EF6B">
            <w:pPr>
              <w:widowControl/>
              <w:spacing w:line="360" w:lineRule="auto"/>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xml:space="preserve">668.32 </w:t>
            </w:r>
          </w:p>
        </w:tc>
        <w:tc>
          <w:tcPr>
            <w:tcW w:w="481" w:type="pct"/>
            <w:tcBorders>
              <w:tl2br w:val="nil"/>
              <w:tr2bl w:val="nil"/>
            </w:tcBorders>
            <w:shd w:val="clear" w:color="auto" w:fill="auto"/>
            <w:noWrap/>
            <w:vAlign w:val="center"/>
          </w:tcPr>
          <w:p w14:paraId="07649053">
            <w:pPr>
              <w:widowControl/>
              <w:spacing w:line="360" w:lineRule="auto"/>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3</w:t>
            </w:r>
          </w:p>
        </w:tc>
        <w:tc>
          <w:tcPr>
            <w:tcW w:w="2034" w:type="pct"/>
            <w:tcBorders>
              <w:tl2br w:val="nil"/>
              <w:tr2bl w:val="nil"/>
            </w:tcBorders>
            <w:shd w:val="clear" w:color="auto" w:fill="auto"/>
            <w:vAlign w:val="center"/>
          </w:tcPr>
          <w:p w14:paraId="38017953">
            <w:pPr>
              <w:widowControl/>
              <w:spacing w:line="360" w:lineRule="auto"/>
              <w:jc w:val="left"/>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鲁沙尔镇：</w:t>
            </w:r>
            <w:r>
              <w:rPr>
                <w:rFonts w:hint="eastAsia" w:ascii="宋体" w:hAnsi="宋体" w:eastAsia="宋体" w:cs="宋体"/>
                <w:color w:val="000000"/>
                <w:kern w:val="0"/>
                <w:sz w:val="21"/>
                <w:szCs w:val="21"/>
              </w:rPr>
              <w:t>东村、陈家滩、 徐家寨共3个村</w:t>
            </w:r>
          </w:p>
        </w:tc>
      </w:tr>
    </w:tbl>
    <w:p w14:paraId="4FF320E8">
      <w:pPr>
        <w:spacing w:line="360" w:lineRule="auto"/>
        <w:ind w:firstLine="480" w:firstLineChars="200"/>
        <w:rPr>
          <w:rFonts w:ascii="宋体" w:hAnsi="宋体" w:eastAsia="宋体" w:cs="仿宋"/>
          <w:sz w:val="24"/>
        </w:rPr>
      </w:pPr>
    </w:p>
    <w:p w14:paraId="492448E9">
      <w:pPr>
        <w:pStyle w:val="44"/>
        <w:numPr>
          <w:ilvl w:val="0"/>
          <w:numId w:val="13"/>
        </w:numPr>
        <w:spacing w:line="360" w:lineRule="auto"/>
        <w:ind w:firstLineChars="0"/>
        <w:rPr>
          <w:rFonts w:ascii="宋体" w:hAnsi="宋体" w:eastAsia="宋体" w:cs="仿宋"/>
          <w:b/>
          <w:bCs/>
          <w:sz w:val="24"/>
        </w:rPr>
      </w:pPr>
      <w:r>
        <w:rPr>
          <w:rFonts w:hint="eastAsia" w:ascii="宋体" w:hAnsi="宋体" w:eastAsia="宋体" w:cs="仿宋"/>
          <w:b/>
          <w:bCs/>
          <w:sz w:val="24"/>
        </w:rPr>
        <w:t>湟中区上五庄镇拉寺目水源地</w:t>
      </w:r>
    </w:p>
    <w:p w14:paraId="17157A38">
      <w:pPr>
        <w:spacing w:line="360" w:lineRule="auto"/>
        <w:ind w:firstLine="480" w:firstLineChars="200"/>
        <w:rPr>
          <w:rFonts w:ascii="宋体" w:hAnsi="宋体" w:eastAsia="宋体" w:cs="仿宋"/>
          <w:sz w:val="24"/>
        </w:rPr>
      </w:pPr>
      <w:r>
        <w:rPr>
          <w:rFonts w:hint="eastAsia" w:ascii="宋体" w:hAnsi="宋体" w:eastAsia="宋体" w:cs="仿宋"/>
          <w:sz w:val="24"/>
        </w:rPr>
        <w:t>湟中区上五庄镇拉寺目水源地供水人口达</w:t>
      </w:r>
      <w:r>
        <w:rPr>
          <w:rFonts w:ascii="宋体" w:hAnsi="宋体" w:eastAsia="宋体" w:cs="仿宋"/>
          <w:sz w:val="24"/>
        </w:rPr>
        <w:t>41269</w:t>
      </w:r>
      <w:r>
        <w:rPr>
          <w:rFonts w:hint="eastAsia" w:ascii="宋体" w:hAnsi="宋体" w:eastAsia="宋体" w:cs="仿宋"/>
          <w:sz w:val="24"/>
        </w:rPr>
        <w:t>人，设计供水规模达</w:t>
      </w:r>
      <w:r>
        <w:rPr>
          <w:rFonts w:ascii="宋体" w:hAnsi="宋体" w:eastAsia="宋体" w:cs="仿宋"/>
          <w:sz w:val="24"/>
        </w:rPr>
        <w:t>7570</w:t>
      </w:r>
      <w:r>
        <w:rPr>
          <w:rFonts w:hint="eastAsia" w:ascii="宋体" w:hAnsi="宋体" w:eastAsia="宋体" w:cs="仿宋"/>
          <w:sz w:val="24"/>
        </w:rPr>
        <w:t>m</w:t>
      </w:r>
      <w:r>
        <w:rPr>
          <w:rFonts w:hint="eastAsia" w:ascii="宋体" w:hAnsi="宋体" w:eastAsia="宋体" w:cs="仿宋"/>
          <w:sz w:val="24"/>
          <w:vertAlign w:val="superscript"/>
        </w:rPr>
        <w:t>3</w:t>
      </w:r>
      <w:r>
        <w:rPr>
          <w:rFonts w:hint="eastAsia" w:ascii="宋体" w:hAnsi="宋体" w:eastAsia="宋体" w:cs="仿宋"/>
          <w:sz w:val="24"/>
        </w:rPr>
        <w:t>/d。水源地保护区范围如下：</w:t>
      </w:r>
    </w:p>
    <w:p w14:paraId="4AA75F87">
      <w:pPr>
        <w:spacing w:line="360" w:lineRule="auto"/>
        <w:ind w:firstLine="480" w:firstLineChars="200"/>
        <w:rPr>
          <w:rFonts w:ascii="宋体" w:hAnsi="宋体" w:eastAsia="宋体" w:cs="仿宋"/>
          <w:sz w:val="24"/>
        </w:rPr>
      </w:pPr>
      <w:r>
        <w:rPr>
          <w:rFonts w:hint="eastAsia" w:ascii="宋体" w:hAnsi="宋体" w:eastAsia="宋体" w:cs="仿宋"/>
          <w:sz w:val="24"/>
        </w:rPr>
        <w:t>一级保护区：自取水口上游延伸1000m，下游延伸100m，沿岸两侧纵深50m的区域作为一级保护期范围，一级保护区面积为0.21km²，周长为3.36km。</w:t>
      </w:r>
    </w:p>
    <w:p w14:paraId="5357837D">
      <w:pPr>
        <w:spacing w:line="360" w:lineRule="auto"/>
        <w:ind w:firstLine="480" w:firstLineChars="200"/>
        <w:rPr>
          <w:rFonts w:ascii="宋体" w:hAnsi="宋体" w:eastAsia="宋体" w:cs="仿宋"/>
          <w:sz w:val="24"/>
        </w:rPr>
      </w:pPr>
      <w:r>
        <w:rPr>
          <w:rFonts w:hint="eastAsia" w:ascii="宋体" w:hAnsi="宋体" w:eastAsia="宋体" w:cs="仿宋"/>
          <w:sz w:val="24"/>
        </w:rPr>
        <w:t>二级保护区：从一级保护区上游边界向上游延伸2000m，下游边界向外延伸200m，沿岸纵深延伸1000m宽的区域作为二级保护区，由于水源地处于山沟，以集雨范围和山脊线作为分水岭，二级保护区面积为8.56 km²，周长为11.61 km。</w:t>
      </w:r>
    </w:p>
    <w:p w14:paraId="70EB9D0D">
      <w:pPr>
        <w:spacing w:line="360" w:lineRule="auto"/>
        <w:ind w:firstLine="480" w:firstLineChars="200"/>
        <w:rPr>
          <w:rFonts w:ascii="宋体" w:hAnsi="宋体" w:eastAsia="宋体" w:cs="Arial"/>
          <w:kern w:val="21"/>
          <w:sz w:val="24"/>
        </w:rPr>
      </w:pPr>
      <w:r>
        <w:rPr>
          <w:rFonts w:hint="eastAsia" w:ascii="宋体" w:hAnsi="宋体" w:eastAsia="宋体" w:cs="仿宋"/>
          <w:sz w:val="24"/>
        </w:rPr>
        <w:t>在拉寺目水源地取水口安装1套</w:t>
      </w:r>
      <w:r>
        <w:rPr>
          <w:rFonts w:hint="eastAsia" w:ascii="宋体" w:hAnsi="宋体" w:eastAsia="宋体" w:cs="Arial"/>
          <w:kern w:val="21"/>
          <w:sz w:val="24"/>
        </w:rPr>
        <w:t>浑浊度光电自动监测设备和数据采集传输装置的水质在线监测设备，</w:t>
      </w:r>
      <w:r>
        <w:rPr>
          <w:rFonts w:hint="eastAsia" w:ascii="宋体" w:hAnsi="宋体" w:eastAsia="宋体" w:cs="仿宋"/>
          <w:sz w:val="24"/>
        </w:rPr>
        <w:t>安装1套</w:t>
      </w:r>
      <w:r>
        <w:rPr>
          <w:rFonts w:hint="eastAsia" w:ascii="宋体" w:hAnsi="宋体" w:eastAsia="宋体" w:cs="Arial"/>
          <w:kern w:val="21"/>
          <w:sz w:val="24"/>
        </w:rPr>
        <w:t>视频监控摄像头、视频联动算法装置和无线网关的视频联动报警设备。采用220V本地供电，从设备房取电，根据取电位置到设备安装位置核算，预计电源线和线管各需要250米。</w:t>
      </w:r>
    </w:p>
    <w:p w14:paraId="2CC168D9">
      <w:pPr>
        <w:spacing w:line="360" w:lineRule="auto"/>
        <w:ind w:firstLine="480" w:firstLineChars="200"/>
        <w:rPr>
          <w:rFonts w:hint="eastAsia" w:ascii="宋体" w:hAnsi="宋体" w:eastAsia="宋体" w:cs="仿宋"/>
          <w:sz w:val="24"/>
        </w:rPr>
      </w:pPr>
      <w:r>
        <w:rPr>
          <w:rFonts w:hint="eastAsia" w:ascii="宋体" w:hAnsi="宋体" w:eastAsia="宋体" w:cs="仿宋"/>
          <w:sz w:val="24"/>
        </w:rPr>
        <w:t>水质在线监测设备现场安装位置图如下图所示：</w:t>
      </w:r>
    </w:p>
    <w:p w14:paraId="49F050CA">
      <w:pPr>
        <w:spacing w:line="360" w:lineRule="auto"/>
        <w:rPr>
          <w:rFonts w:ascii="宋体" w:hAnsi="宋体" w:eastAsia="宋体" w:cs="仿宋"/>
          <w:sz w:val="24"/>
        </w:rPr>
      </w:pPr>
      <w:r>
        <w:drawing>
          <wp:inline distT="0" distB="0" distL="0" distR="0">
            <wp:extent cx="5270500" cy="2964815"/>
            <wp:effectExtent l="0" t="0" r="6350" b="6985"/>
            <wp:docPr id="118075140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751405" name="图片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5270500" cy="2964815"/>
                    </a:xfrm>
                    <a:prstGeom prst="rect">
                      <a:avLst/>
                    </a:prstGeom>
                    <a:noFill/>
                    <a:ln>
                      <a:noFill/>
                    </a:ln>
                  </pic:spPr>
                </pic:pic>
              </a:graphicData>
            </a:graphic>
          </wp:inline>
        </w:drawing>
      </w:r>
    </w:p>
    <w:p w14:paraId="2728D29C">
      <w:pPr>
        <w:spacing w:line="360" w:lineRule="auto"/>
        <w:ind w:firstLine="480" w:firstLineChars="200"/>
        <w:rPr>
          <w:rFonts w:ascii="宋体" w:hAnsi="宋体" w:eastAsia="宋体" w:cs="仿宋"/>
          <w:sz w:val="24"/>
        </w:rPr>
      </w:pPr>
      <w:r>
        <w:rPr>
          <w:rFonts w:hint="eastAsia" w:ascii="宋体" w:hAnsi="宋体" w:eastAsia="宋体" w:cs="仿宋"/>
          <w:sz w:val="24"/>
        </w:rPr>
        <w:t>视频联动报警设备现场安装位置图如下图所示：</w:t>
      </w:r>
    </w:p>
    <w:p w14:paraId="333D7550">
      <w:pPr>
        <w:spacing w:line="360" w:lineRule="auto"/>
        <w:rPr>
          <w:rFonts w:hint="eastAsia" w:ascii="宋体" w:hAnsi="宋体" w:eastAsia="宋体" w:cs="仿宋"/>
          <w:sz w:val="24"/>
        </w:rPr>
      </w:pPr>
      <w:r>
        <w:drawing>
          <wp:inline distT="0" distB="0" distL="0" distR="0">
            <wp:extent cx="5270500" cy="2964815"/>
            <wp:effectExtent l="0" t="0" r="6350" b="6985"/>
            <wp:docPr id="153472069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720693" name="图片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270500" cy="2964815"/>
                    </a:xfrm>
                    <a:prstGeom prst="rect">
                      <a:avLst/>
                    </a:prstGeom>
                    <a:noFill/>
                    <a:ln>
                      <a:noFill/>
                    </a:ln>
                  </pic:spPr>
                </pic:pic>
              </a:graphicData>
            </a:graphic>
          </wp:inline>
        </w:drawing>
      </w:r>
    </w:p>
    <w:p w14:paraId="7E284D7D">
      <w:pPr>
        <w:spacing w:line="360" w:lineRule="auto"/>
        <w:ind w:firstLine="480" w:firstLineChars="200"/>
        <w:rPr>
          <w:rFonts w:ascii="宋体" w:hAnsi="宋体" w:eastAsia="宋体" w:cs="仿宋"/>
          <w:sz w:val="24"/>
        </w:rPr>
      </w:pPr>
      <w:r>
        <w:rPr>
          <w:rFonts w:hint="eastAsia" w:ascii="宋体" w:hAnsi="宋体" w:eastAsia="宋体" w:cs="仿宋"/>
          <w:sz w:val="24"/>
        </w:rPr>
        <w:t>在拉寺目水源地河滩安装1套警戒球机和无线网关的设备。采用220V本地供电，从设备房取电，</w:t>
      </w:r>
      <w:r>
        <w:rPr>
          <w:rFonts w:hint="eastAsia" w:ascii="宋体" w:hAnsi="宋体" w:eastAsia="宋体" w:cs="Arial"/>
          <w:kern w:val="21"/>
          <w:sz w:val="24"/>
        </w:rPr>
        <w:t>根据取电位置到设备安装位置核算，</w:t>
      </w:r>
      <w:r>
        <w:rPr>
          <w:rFonts w:hint="eastAsia" w:ascii="宋体" w:hAnsi="宋体" w:eastAsia="宋体" w:cs="仿宋"/>
          <w:sz w:val="24"/>
        </w:rPr>
        <w:t>预计电源线和线管各需要200米。</w:t>
      </w:r>
    </w:p>
    <w:p w14:paraId="1FCB009C">
      <w:pPr>
        <w:spacing w:line="360" w:lineRule="auto"/>
        <w:ind w:firstLine="480" w:firstLineChars="200"/>
        <w:rPr>
          <w:rFonts w:hint="eastAsia" w:ascii="宋体" w:hAnsi="宋体" w:eastAsia="宋体" w:cs="仿宋"/>
          <w:sz w:val="24"/>
        </w:rPr>
      </w:pPr>
      <w:r>
        <w:rPr>
          <w:rFonts w:hint="eastAsia" w:ascii="宋体" w:hAnsi="宋体" w:eastAsia="宋体" w:cs="仿宋"/>
          <w:sz w:val="24"/>
        </w:rPr>
        <w:t>警戒球机设备现场安装位置图如下图所示：</w:t>
      </w:r>
    </w:p>
    <w:p w14:paraId="69A3628B">
      <w:pPr>
        <w:spacing w:line="360" w:lineRule="auto"/>
        <w:jc w:val="left"/>
        <w:rPr>
          <w:rFonts w:ascii="宋体" w:hAnsi="宋体" w:eastAsia="宋体" w:cs="仿宋"/>
          <w:sz w:val="24"/>
        </w:rPr>
      </w:pPr>
      <w:r>
        <w:drawing>
          <wp:inline distT="0" distB="0" distL="0" distR="0">
            <wp:extent cx="5270500" cy="3954145"/>
            <wp:effectExtent l="0" t="0" r="6350" b="8255"/>
            <wp:docPr id="19118189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818918" name="图片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5270500" cy="3954145"/>
                    </a:xfrm>
                    <a:prstGeom prst="rect">
                      <a:avLst/>
                    </a:prstGeom>
                    <a:noFill/>
                    <a:ln>
                      <a:noFill/>
                    </a:ln>
                  </pic:spPr>
                </pic:pic>
              </a:graphicData>
            </a:graphic>
          </wp:inline>
        </w:drawing>
      </w:r>
    </w:p>
    <w:p w14:paraId="131F112C">
      <w:pPr>
        <w:spacing w:line="360" w:lineRule="auto"/>
        <w:ind w:firstLine="480" w:firstLineChars="200"/>
        <w:rPr>
          <w:rFonts w:hint="eastAsia" w:ascii="宋体" w:hAnsi="宋体" w:eastAsia="宋体" w:cs="仿宋"/>
          <w:sz w:val="24"/>
        </w:rPr>
      </w:pPr>
      <w:r>
        <w:rPr>
          <w:rFonts w:hint="eastAsia" w:ascii="宋体" w:hAnsi="宋体" w:eastAsia="宋体" w:cs="仿宋"/>
          <w:sz w:val="24"/>
        </w:rPr>
        <w:t>水源地设备房取电位置如下图所示：</w:t>
      </w:r>
    </w:p>
    <w:p w14:paraId="095A1FEB">
      <w:pPr>
        <w:spacing w:line="360" w:lineRule="auto"/>
        <w:jc w:val="left"/>
        <w:rPr>
          <w:rFonts w:ascii="宋体" w:hAnsi="宋体" w:eastAsia="宋体" w:cs="仿宋"/>
          <w:sz w:val="24"/>
        </w:rPr>
      </w:pPr>
      <w:r>
        <w:drawing>
          <wp:inline distT="0" distB="0" distL="0" distR="0">
            <wp:extent cx="5270500" cy="2964815"/>
            <wp:effectExtent l="0" t="0" r="6350" b="6985"/>
            <wp:docPr id="62779547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795470" name="图片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5270500" cy="2964815"/>
                    </a:xfrm>
                    <a:prstGeom prst="rect">
                      <a:avLst/>
                    </a:prstGeom>
                    <a:noFill/>
                    <a:ln>
                      <a:noFill/>
                    </a:ln>
                  </pic:spPr>
                </pic:pic>
              </a:graphicData>
            </a:graphic>
          </wp:inline>
        </w:drawing>
      </w:r>
    </w:p>
    <w:p w14:paraId="38A8DA4D">
      <w:pPr>
        <w:spacing w:line="360" w:lineRule="auto"/>
        <w:ind w:firstLine="480" w:firstLineChars="200"/>
        <w:rPr>
          <w:rFonts w:hint="eastAsia" w:ascii="宋体" w:hAnsi="宋体" w:eastAsia="宋体" w:cs="仿宋"/>
          <w:sz w:val="24"/>
        </w:rPr>
      </w:pPr>
      <w:r>
        <w:rPr>
          <w:rFonts w:hint="eastAsia" w:ascii="宋体" w:hAnsi="宋体" w:eastAsia="宋体" w:cs="仿宋"/>
          <w:sz w:val="24"/>
        </w:rPr>
        <w:t>湟中区李家山镇香林峡水源地、湟中区云谷川水库水源地、湟中区李家山镇九眼泉水源地（备用水源）供水人口达</w:t>
      </w:r>
      <w:r>
        <w:rPr>
          <w:rFonts w:ascii="宋体" w:hAnsi="宋体" w:eastAsia="宋体" w:cs="仿宋"/>
          <w:sz w:val="24"/>
        </w:rPr>
        <w:t>43428</w:t>
      </w:r>
      <w:r>
        <w:rPr>
          <w:rFonts w:hint="eastAsia" w:ascii="宋体" w:hAnsi="宋体" w:eastAsia="宋体" w:cs="仿宋"/>
          <w:sz w:val="24"/>
        </w:rPr>
        <w:t>人，设计供水规模达</w:t>
      </w:r>
      <w:r>
        <w:rPr>
          <w:rFonts w:ascii="宋体" w:hAnsi="宋体" w:eastAsia="宋体" w:cs="仿宋"/>
          <w:sz w:val="24"/>
        </w:rPr>
        <w:t>4423</w:t>
      </w:r>
      <w:r>
        <w:rPr>
          <w:rFonts w:hint="eastAsia" w:ascii="宋体" w:hAnsi="宋体" w:eastAsia="宋体" w:cs="仿宋"/>
          <w:sz w:val="24"/>
        </w:rPr>
        <w:t>m</w:t>
      </w:r>
      <w:r>
        <w:rPr>
          <w:rFonts w:hint="eastAsia" w:ascii="宋体" w:hAnsi="宋体" w:eastAsia="宋体" w:cs="仿宋"/>
          <w:sz w:val="24"/>
          <w:vertAlign w:val="superscript"/>
        </w:rPr>
        <w:t>3</w:t>
      </w:r>
      <w:r>
        <w:rPr>
          <w:rFonts w:hint="eastAsia" w:ascii="宋体" w:hAnsi="宋体" w:eastAsia="宋体" w:cs="仿宋"/>
          <w:sz w:val="24"/>
        </w:rPr>
        <w:t>/d。云谷川水库总库容765万m³，正常蓄水位2753.6m，坝高43m。</w:t>
      </w:r>
    </w:p>
    <w:p w14:paraId="1B3BE316">
      <w:pPr>
        <w:pStyle w:val="44"/>
        <w:numPr>
          <w:ilvl w:val="0"/>
          <w:numId w:val="13"/>
        </w:numPr>
        <w:spacing w:line="360" w:lineRule="auto"/>
        <w:ind w:firstLineChars="0"/>
        <w:rPr>
          <w:rFonts w:ascii="宋体" w:hAnsi="宋体" w:eastAsia="宋体" w:cs="仿宋"/>
          <w:b/>
          <w:bCs/>
          <w:sz w:val="24"/>
        </w:rPr>
      </w:pPr>
      <w:r>
        <w:rPr>
          <w:rFonts w:hint="eastAsia" w:ascii="宋体" w:hAnsi="宋体" w:eastAsia="宋体" w:cs="仿宋"/>
          <w:b/>
          <w:bCs/>
          <w:sz w:val="24"/>
        </w:rPr>
        <w:t>湟中区李家山镇香林峡水源地</w:t>
      </w:r>
    </w:p>
    <w:p w14:paraId="0B148946">
      <w:pPr>
        <w:spacing w:line="360" w:lineRule="auto"/>
        <w:ind w:firstLine="480" w:firstLineChars="200"/>
        <w:rPr>
          <w:rFonts w:ascii="宋体" w:hAnsi="宋体" w:eastAsia="宋体" w:cs="Arial"/>
          <w:kern w:val="21"/>
          <w:sz w:val="24"/>
        </w:rPr>
      </w:pPr>
      <w:r>
        <w:rPr>
          <w:rFonts w:hint="eastAsia" w:ascii="宋体" w:hAnsi="宋体" w:eastAsia="宋体" w:cs="仿宋"/>
          <w:sz w:val="24"/>
        </w:rPr>
        <w:t>在李家山镇香林峡水源地取水口安装1套</w:t>
      </w:r>
      <w:r>
        <w:rPr>
          <w:rFonts w:hint="eastAsia" w:ascii="宋体" w:hAnsi="宋体" w:eastAsia="宋体" w:cs="Arial"/>
          <w:kern w:val="21"/>
          <w:sz w:val="24"/>
        </w:rPr>
        <w:t>浑浊度光电自动监测设备和数据采集传输装置的水质在线监测设备，安装1</w:t>
      </w:r>
      <w:r>
        <w:rPr>
          <w:rFonts w:hint="eastAsia" w:ascii="宋体" w:hAnsi="宋体" w:eastAsia="宋体" w:cs="仿宋"/>
          <w:sz w:val="24"/>
        </w:rPr>
        <w:t>套</w:t>
      </w:r>
      <w:r>
        <w:rPr>
          <w:rFonts w:hint="eastAsia" w:ascii="宋体" w:hAnsi="宋体" w:eastAsia="宋体" w:cs="Arial"/>
          <w:kern w:val="21"/>
          <w:sz w:val="24"/>
        </w:rPr>
        <w:t>视频监控摄像头、视频联动算法装置和无线网关的视频联动报警设备。采用220V本地供电，从设备房取电，根据取电位置到设备安装位置核算，预计电源线和线管各需要200米。</w:t>
      </w:r>
    </w:p>
    <w:p w14:paraId="2DE2F7A1">
      <w:pPr>
        <w:spacing w:line="360" w:lineRule="auto"/>
        <w:ind w:firstLine="480" w:firstLineChars="200"/>
        <w:rPr>
          <w:rFonts w:hint="eastAsia" w:ascii="宋体" w:hAnsi="宋体" w:eastAsia="宋体" w:cs="仿宋"/>
          <w:sz w:val="24"/>
        </w:rPr>
      </w:pPr>
      <w:r>
        <w:rPr>
          <w:rFonts w:hint="eastAsia" w:ascii="宋体" w:hAnsi="宋体" w:eastAsia="宋体" w:cs="仿宋"/>
          <w:sz w:val="24"/>
        </w:rPr>
        <w:t>水质在线监测设备和视频联动报警设备现场安装位置图如下图所示：</w:t>
      </w:r>
    </w:p>
    <w:p w14:paraId="551B157F">
      <w:pPr>
        <w:spacing w:line="360" w:lineRule="auto"/>
        <w:jc w:val="center"/>
        <w:rPr>
          <w:rFonts w:hint="eastAsia" w:ascii="宋体" w:hAnsi="宋体" w:eastAsia="宋体" w:cs="仿宋"/>
          <w:b/>
          <w:bCs/>
          <w:sz w:val="24"/>
        </w:rPr>
      </w:pPr>
      <w:r>
        <w:drawing>
          <wp:inline distT="0" distB="0" distL="0" distR="0">
            <wp:extent cx="2226945" cy="3959860"/>
            <wp:effectExtent l="0" t="0" r="1905" b="2540"/>
            <wp:docPr id="192527768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277680" name="图片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2227393" cy="3960000"/>
                    </a:xfrm>
                    <a:prstGeom prst="rect">
                      <a:avLst/>
                    </a:prstGeom>
                    <a:noFill/>
                    <a:ln>
                      <a:noFill/>
                    </a:ln>
                  </pic:spPr>
                </pic:pic>
              </a:graphicData>
            </a:graphic>
          </wp:inline>
        </w:drawing>
      </w:r>
    </w:p>
    <w:p w14:paraId="3AF5D619">
      <w:pPr>
        <w:spacing w:line="360" w:lineRule="auto"/>
        <w:ind w:firstLine="480" w:firstLineChars="200"/>
        <w:rPr>
          <w:rFonts w:ascii="宋体" w:hAnsi="宋体" w:eastAsia="宋体" w:cs="仿宋"/>
          <w:sz w:val="24"/>
        </w:rPr>
      </w:pPr>
      <w:r>
        <w:rPr>
          <w:rFonts w:hint="eastAsia" w:ascii="宋体" w:hAnsi="宋体" w:eastAsia="宋体" w:cs="仿宋"/>
          <w:sz w:val="24"/>
        </w:rPr>
        <w:t>在水源地沉淀池上游安装1套警戒球机和无线网关的设备。采用220V本地供电，从设备房取电，</w:t>
      </w:r>
      <w:r>
        <w:rPr>
          <w:rFonts w:hint="eastAsia" w:ascii="宋体" w:hAnsi="宋体" w:eastAsia="宋体" w:cs="Arial"/>
          <w:kern w:val="21"/>
          <w:sz w:val="24"/>
        </w:rPr>
        <w:t>根据取电位置到设备安装位置核算，</w:t>
      </w:r>
      <w:r>
        <w:rPr>
          <w:rFonts w:hint="eastAsia" w:ascii="宋体" w:hAnsi="宋体" w:eastAsia="宋体" w:cs="仿宋"/>
          <w:sz w:val="24"/>
        </w:rPr>
        <w:t>预计电源线和线管各需要200米。</w:t>
      </w:r>
    </w:p>
    <w:p w14:paraId="04234C96">
      <w:pPr>
        <w:spacing w:line="360" w:lineRule="auto"/>
        <w:ind w:firstLine="480" w:firstLineChars="200"/>
        <w:rPr>
          <w:rFonts w:hint="eastAsia" w:ascii="宋体" w:hAnsi="宋体" w:eastAsia="宋体" w:cs="仿宋"/>
          <w:sz w:val="24"/>
        </w:rPr>
      </w:pPr>
      <w:r>
        <w:rPr>
          <w:rFonts w:hint="eastAsia" w:ascii="宋体" w:hAnsi="宋体" w:eastAsia="宋体" w:cs="仿宋"/>
          <w:sz w:val="24"/>
        </w:rPr>
        <w:t>警戒球机设备现场安装位置图如下图所示：</w:t>
      </w:r>
    </w:p>
    <w:p w14:paraId="7102C297">
      <w:pPr>
        <w:spacing w:line="360" w:lineRule="auto"/>
        <w:jc w:val="center"/>
        <w:rPr>
          <w:rFonts w:hint="eastAsia" w:ascii="宋体" w:hAnsi="宋体" w:eastAsia="宋体" w:cs="仿宋"/>
          <w:b/>
          <w:bCs/>
          <w:sz w:val="24"/>
        </w:rPr>
      </w:pPr>
      <w:r>
        <w:drawing>
          <wp:inline distT="0" distB="0" distL="0" distR="0">
            <wp:extent cx="2226945" cy="3959860"/>
            <wp:effectExtent l="0" t="0" r="1905" b="2540"/>
            <wp:docPr id="21054115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411516" name="图片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2227394" cy="3960000"/>
                    </a:xfrm>
                    <a:prstGeom prst="rect">
                      <a:avLst/>
                    </a:prstGeom>
                    <a:noFill/>
                    <a:ln>
                      <a:noFill/>
                    </a:ln>
                  </pic:spPr>
                </pic:pic>
              </a:graphicData>
            </a:graphic>
          </wp:inline>
        </w:drawing>
      </w:r>
    </w:p>
    <w:p w14:paraId="6F44646F">
      <w:pPr>
        <w:pStyle w:val="44"/>
        <w:numPr>
          <w:ilvl w:val="0"/>
          <w:numId w:val="13"/>
        </w:numPr>
        <w:spacing w:line="360" w:lineRule="auto"/>
        <w:ind w:firstLineChars="0"/>
        <w:rPr>
          <w:rFonts w:ascii="宋体" w:hAnsi="宋体" w:eastAsia="宋体" w:cs="仿宋"/>
          <w:b/>
          <w:bCs/>
          <w:sz w:val="24"/>
        </w:rPr>
      </w:pPr>
      <w:r>
        <w:rPr>
          <w:rFonts w:hint="eastAsia" w:ascii="宋体" w:hAnsi="宋体" w:eastAsia="宋体" w:cs="仿宋"/>
          <w:b/>
          <w:bCs/>
          <w:sz w:val="24"/>
        </w:rPr>
        <w:t>湟中区云谷川水库水源地</w:t>
      </w:r>
    </w:p>
    <w:p w14:paraId="3F2F92D5">
      <w:pPr>
        <w:spacing w:line="360" w:lineRule="auto"/>
        <w:ind w:firstLine="480" w:firstLineChars="200"/>
        <w:rPr>
          <w:rFonts w:ascii="宋体" w:hAnsi="宋体" w:eastAsia="宋体" w:cs="Arial"/>
          <w:kern w:val="21"/>
          <w:sz w:val="24"/>
        </w:rPr>
      </w:pPr>
      <w:r>
        <w:rPr>
          <w:rFonts w:hint="eastAsia" w:ascii="宋体" w:hAnsi="宋体" w:eastAsia="宋体" w:cs="仿宋"/>
          <w:sz w:val="24"/>
        </w:rPr>
        <w:t>在云谷川水库大坝中间位置安装1套</w:t>
      </w:r>
      <w:r>
        <w:rPr>
          <w:rFonts w:hint="eastAsia" w:ascii="宋体" w:hAnsi="宋体" w:eastAsia="宋体" w:cs="Arial"/>
          <w:kern w:val="21"/>
          <w:sz w:val="24"/>
        </w:rPr>
        <w:t>浑浊度光电自动监测设备和数据采集传输装置的水质在线监测设备，安装</w:t>
      </w:r>
      <w:r>
        <w:rPr>
          <w:rFonts w:hint="eastAsia" w:ascii="宋体" w:hAnsi="宋体" w:eastAsia="宋体" w:cs="仿宋"/>
          <w:sz w:val="24"/>
        </w:rPr>
        <w:t>1套</w:t>
      </w:r>
      <w:r>
        <w:rPr>
          <w:rFonts w:hint="eastAsia" w:ascii="宋体" w:hAnsi="宋体" w:eastAsia="宋体" w:cs="Arial"/>
          <w:kern w:val="21"/>
          <w:sz w:val="24"/>
        </w:rPr>
        <w:t>视频监控摄像头、视频联动算法装置和无线网关的视频联动报警设备。采用220V本地供电，就近从大坝的监控杆取电，根据取电位置到设备安装位置核算，预计电源线和线管各需要150米。</w:t>
      </w:r>
    </w:p>
    <w:p w14:paraId="1F20D36B">
      <w:pPr>
        <w:spacing w:line="360" w:lineRule="auto"/>
        <w:ind w:firstLine="480" w:firstLineChars="200"/>
        <w:rPr>
          <w:rFonts w:hint="eastAsia" w:ascii="宋体" w:hAnsi="宋体" w:eastAsia="宋体" w:cs="仿宋"/>
          <w:sz w:val="24"/>
        </w:rPr>
      </w:pPr>
      <w:r>
        <w:rPr>
          <w:rFonts w:hint="eastAsia" w:ascii="宋体" w:hAnsi="宋体" w:eastAsia="宋体" w:cs="仿宋"/>
          <w:sz w:val="24"/>
        </w:rPr>
        <w:t>水质在线监测设备和视频联动报警设备现场安装位置图如下图所示：</w:t>
      </w:r>
    </w:p>
    <w:p w14:paraId="495B61C6">
      <w:pPr>
        <w:spacing w:line="360" w:lineRule="auto"/>
        <w:rPr>
          <w:rFonts w:hint="eastAsia" w:ascii="宋体" w:hAnsi="宋体" w:eastAsia="宋体" w:cs="仿宋"/>
          <w:b/>
          <w:bCs/>
          <w:sz w:val="24"/>
        </w:rPr>
      </w:pPr>
      <w:r>
        <w:drawing>
          <wp:inline distT="0" distB="0" distL="0" distR="0">
            <wp:extent cx="5270500" cy="2964815"/>
            <wp:effectExtent l="0" t="0" r="6350" b="6985"/>
            <wp:docPr id="125699598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995987" name="图片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5270500" cy="2964815"/>
                    </a:xfrm>
                    <a:prstGeom prst="rect">
                      <a:avLst/>
                    </a:prstGeom>
                    <a:noFill/>
                    <a:ln>
                      <a:noFill/>
                    </a:ln>
                  </pic:spPr>
                </pic:pic>
              </a:graphicData>
            </a:graphic>
          </wp:inline>
        </w:drawing>
      </w:r>
    </w:p>
    <w:p w14:paraId="51C2C1B8">
      <w:pPr>
        <w:spacing w:line="360" w:lineRule="auto"/>
        <w:ind w:firstLine="480" w:firstLineChars="200"/>
        <w:rPr>
          <w:rFonts w:ascii="宋体" w:hAnsi="宋体" w:eastAsia="宋体" w:cs="仿宋"/>
          <w:sz w:val="24"/>
        </w:rPr>
      </w:pPr>
      <w:r>
        <w:rPr>
          <w:rFonts w:hint="eastAsia" w:ascii="宋体" w:hAnsi="宋体" w:eastAsia="宋体" w:cs="仿宋"/>
          <w:sz w:val="24"/>
        </w:rPr>
        <w:t>在云谷川水库上游的左右两侧各安装1套警戒球机和无线网关的设备。此处</w:t>
      </w:r>
      <w:r>
        <w:rPr>
          <w:rFonts w:hint="eastAsia" w:ascii="宋体" w:hAnsi="宋体" w:eastAsia="宋体" w:cs="Arial"/>
          <w:kern w:val="21"/>
          <w:sz w:val="24"/>
          <w:shd w:val="clear" w:color="auto" w:fill="FFFFFF" w:themeFill="background1"/>
        </w:rPr>
        <w:t>由于受到现场环境条件的限制而</w:t>
      </w:r>
      <w:r>
        <w:rPr>
          <w:rFonts w:hint="eastAsia" w:ascii="宋体" w:hAnsi="宋体" w:eastAsia="宋体" w:cs="仿宋"/>
          <w:sz w:val="24"/>
        </w:rPr>
        <w:t>无法采用本地供电方式，需采用太阳能供电，安装太阳能板和锂电池解决现场供电问题，要求太阳能板功率＞380W，锂电池容量≥200Ah。</w:t>
      </w:r>
    </w:p>
    <w:p w14:paraId="378E930D">
      <w:pPr>
        <w:spacing w:line="360" w:lineRule="auto"/>
        <w:ind w:firstLine="480" w:firstLineChars="200"/>
        <w:rPr>
          <w:rFonts w:hint="eastAsia" w:ascii="宋体" w:hAnsi="宋体" w:eastAsia="宋体" w:cs="仿宋"/>
          <w:sz w:val="24"/>
        </w:rPr>
      </w:pPr>
      <w:r>
        <w:rPr>
          <w:rFonts w:hint="eastAsia" w:ascii="宋体" w:hAnsi="宋体" w:eastAsia="宋体" w:cs="仿宋"/>
          <w:sz w:val="24"/>
        </w:rPr>
        <w:t>警戒球机设备现场安装位置图如下图所示：</w:t>
      </w:r>
    </w:p>
    <w:p w14:paraId="552DDF93">
      <w:pPr>
        <w:spacing w:line="360" w:lineRule="auto"/>
        <w:rPr>
          <w:rFonts w:hint="eastAsia" w:ascii="宋体" w:hAnsi="宋体" w:eastAsia="宋体" w:cs="仿宋"/>
          <w:b/>
          <w:bCs/>
          <w:sz w:val="24"/>
        </w:rPr>
      </w:pPr>
      <w:r>
        <w:drawing>
          <wp:inline distT="0" distB="0" distL="0" distR="0">
            <wp:extent cx="5270500" cy="2964815"/>
            <wp:effectExtent l="0" t="0" r="6350" b="6985"/>
            <wp:docPr id="4240865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086518" name="图片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270500" cy="2964815"/>
                    </a:xfrm>
                    <a:prstGeom prst="rect">
                      <a:avLst/>
                    </a:prstGeom>
                    <a:noFill/>
                    <a:ln>
                      <a:noFill/>
                    </a:ln>
                  </pic:spPr>
                </pic:pic>
              </a:graphicData>
            </a:graphic>
          </wp:inline>
        </w:drawing>
      </w:r>
    </w:p>
    <w:p w14:paraId="2DCDEBF7">
      <w:pPr>
        <w:pStyle w:val="44"/>
        <w:numPr>
          <w:ilvl w:val="0"/>
          <w:numId w:val="13"/>
        </w:numPr>
        <w:spacing w:line="360" w:lineRule="auto"/>
        <w:ind w:firstLineChars="0"/>
        <w:rPr>
          <w:rFonts w:ascii="宋体" w:hAnsi="宋体" w:eastAsia="宋体" w:cs="仿宋"/>
          <w:b/>
          <w:bCs/>
          <w:sz w:val="24"/>
        </w:rPr>
      </w:pPr>
      <w:r>
        <w:rPr>
          <w:rFonts w:hint="eastAsia" w:ascii="宋体" w:hAnsi="宋体" w:eastAsia="宋体" w:cs="仿宋"/>
          <w:b/>
          <w:bCs/>
          <w:sz w:val="24"/>
        </w:rPr>
        <w:t>湟中区李家山镇九眼泉水源地（备用水源）</w:t>
      </w:r>
    </w:p>
    <w:p w14:paraId="3F8E5135">
      <w:pPr>
        <w:spacing w:line="360" w:lineRule="auto"/>
        <w:ind w:firstLine="480" w:firstLineChars="200"/>
        <w:rPr>
          <w:rFonts w:ascii="宋体" w:hAnsi="宋体" w:eastAsia="宋体" w:cs="仿宋"/>
          <w:sz w:val="24"/>
        </w:rPr>
      </w:pPr>
      <w:r>
        <w:rPr>
          <w:rFonts w:hint="eastAsia" w:ascii="宋体" w:hAnsi="宋体" w:eastAsia="宋体" w:cs="仿宋"/>
          <w:sz w:val="24"/>
        </w:rPr>
        <w:t>在廊道入口安装1套</w:t>
      </w:r>
      <w:r>
        <w:rPr>
          <w:rFonts w:hint="eastAsia" w:ascii="宋体" w:hAnsi="宋体" w:eastAsia="宋体" w:cs="Arial"/>
          <w:kern w:val="21"/>
          <w:sz w:val="24"/>
        </w:rPr>
        <w:t>浑浊度光电自动监测设备和数据采集传输装置的水质在线监测设备，</w:t>
      </w:r>
      <w:r>
        <w:rPr>
          <w:rFonts w:hint="eastAsia" w:ascii="宋体" w:hAnsi="宋体" w:eastAsia="宋体" w:cs="仿宋"/>
          <w:sz w:val="24"/>
        </w:rPr>
        <w:t>安装1套</w:t>
      </w:r>
      <w:r>
        <w:rPr>
          <w:rFonts w:hint="eastAsia" w:ascii="宋体" w:hAnsi="宋体" w:eastAsia="宋体" w:cs="Arial"/>
          <w:kern w:val="21"/>
          <w:sz w:val="24"/>
        </w:rPr>
        <w:t>视频监控摄像头、视频联动算法装置和无线网关的视频联动报警设备。</w:t>
      </w:r>
      <w:r>
        <w:rPr>
          <w:rFonts w:hint="eastAsia" w:ascii="宋体" w:hAnsi="宋体" w:eastAsia="宋体" w:cs="仿宋"/>
          <w:sz w:val="24"/>
        </w:rPr>
        <w:t>此处由于受到现场环境条件的限制而无法采用本地供电方式，需采用太阳能供电，安装太阳能板和锂电池解决现场供电问题，要求太阳能板功率＞380W，锂电池容量≥200Ah。</w:t>
      </w:r>
    </w:p>
    <w:p w14:paraId="5FC17491">
      <w:pPr>
        <w:spacing w:line="360" w:lineRule="auto"/>
        <w:ind w:firstLine="480" w:firstLineChars="200"/>
        <w:rPr>
          <w:rFonts w:ascii="宋体" w:hAnsi="宋体" w:eastAsia="宋体" w:cs="仿宋"/>
          <w:sz w:val="24"/>
        </w:rPr>
      </w:pPr>
      <w:r>
        <w:rPr>
          <w:rFonts w:hint="eastAsia" w:ascii="宋体" w:hAnsi="宋体" w:eastAsia="宋体" w:cs="仿宋"/>
          <w:sz w:val="24"/>
        </w:rPr>
        <w:t>在水源地西侧安装1套警戒球机和无线网关的设备，监控范围覆盖九眼泉及周边。此处由于受到现场环境条件的限制而无法采用本地供电方式，需采用太阳能供电，安装太阳能板和锂电池解决现场供电问题，要求太阳能板功率＞380W，锂电池容量≥200Ah。</w:t>
      </w:r>
    </w:p>
    <w:p w14:paraId="5B5B05CF">
      <w:pPr>
        <w:spacing w:line="360" w:lineRule="auto"/>
        <w:ind w:firstLine="480" w:firstLineChars="200"/>
        <w:rPr>
          <w:rFonts w:hint="eastAsia" w:ascii="宋体" w:hAnsi="宋体" w:eastAsia="宋体" w:cs="仿宋"/>
          <w:sz w:val="24"/>
        </w:rPr>
      </w:pPr>
      <w:r>
        <w:rPr>
          <w:rFonts w:hint="eastAsia" w:ascii="宋体" w:hAnsi="宋体" w:eastAsia="宋体" w:cs="仿宋"/>
          <w:sz w:val="24"/>
        </w:rPr>
        <w:t>设备现场安装位置图如下图所示：</w:t>
      </w:r>
    </w:p>
    <w:p w14:paraId="05EA6FF9">
      <w:pPr>
        <w:spacing w:line="360" w:lineRule="auto"/>
        <w:rPr>
          <w:rFonts w:hint="eastAsia" w:ascii="宋体" w:hAnsi="宋体" w:eastAsia="宋体" w:cs="仿宋"/>
          <w:b/>
          <w:bCs/>
          <w:sz w:val="24"/>
        </w:rPr>
      </w:pPr>
      <w:r>
        <w:drawing>
          <wp:inline distT="0" distB="0" distL="0" distR="0">
            <wp:extent cx="5270500" cy="2964815"/>
            <wp:effectExtent l="0" t="0" r="6350" b="6985"/>
            <wp:docPr id="31239788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97889" name="图片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5270500" cy="2964815"/>
                    </a:xfrm>
                    <a:prstGeom prst="rect">
                      <a:avLst/>
                    </a:prstGeom>
                    <a:noFill/>
                    <a:ln>
                      <a:noFill/>
                    </a:ln>
                  </pic:spPr>
                </pic:pic>
              </a:graphicData>
            </a:graphic>
          </wp:inline>
        </w:drawing>
      </w:r>
    </w:p>
    <w:p w14:paraId="1D10DD03">
      <w:pPr>
        <w:spacing w:line="360" w:lineRule="auto"/>
        <w:ind w:firstLine="480" w:firstLineChars="200"/>
        <w:rPr>
          <w:rFonts w:ascii="宋体" w:hAnsi="宋体" w:eastAsia="宋体" w:cs="仿宋"/>
          <w:sz w:val="24"/>
        </w:rPr>
      </w:pPr>
      <w:r>
        <w:rPr>
          <w:rFonts w:hint="eastAsia" w:ascii="宋体" w:hAnsi="宋体" w:eastAsia="宋体" w:cs="Arial"/>
          <w:kern w:val="21"/>
          <w:sz w:val="24"/>
        </w:rPr>
        <w:t>湟中区田家寨镇流水沟水源地和湟中区小南川水库水源地</w:t>
      </w:r>
      <w:r>
        <w:rPr>
          <w:rFonts w:hint="eastAsia" w:ascii="宋体" w:hAnsi="宋体" w:eastAsia="宋体" w:cs="仿宋"/>
          <w:sz w:val="24"/>
        </w:rPr>
        <w:t>供水人口达</w:t>
      </w:r>
      <w:r>
        <w:rPr>
          <w:rFonts w:ascii="宋体" w:hAnsi="宋体" w:eastAsia="宋体" w:cs="仿宋"/>
          <w:sz w:val="24"/>
        </w:rPr>
        <w:t>19221</w:t>
      </w:r>
      <w:r>
        <w:rPr>
          <w:rFonts w:hint="eastAsia" w:ascii="宋体" w:hAnsi="宋体" w:eastAsia="宋体" w:cs="仿宋"/>
          <w:sz w:val="24"/>
        </w:rPr>
        <w:t>人，设计供水规模达</w:t>
      </w:r>
      <w:r>
        <w:rPr>
          <w:rFonts w:ascii="宋体" w:hAnsi="宋体" w:eastAsia="宋体" w:cs="仿宋"/>
          <w:sz w:val="24"/>
        </w:rPr>
        <w:t>1713</w:t>
      </w:r>
      <w:r>
        <w:rPr>
          <w:rFonts w:hint="eastAsia" w:ascii="宋体" w:hAnsi="宋体" w:eastAsia="宋体" w:cs="仿宋"/>
          <w:sz w:val="24"/>
        </w:rPr>
        <w:t>m</w:t>
      </w:r>
      <w:r>
        <w:rPr>
          <w:rFonts w:hint="eastAsia" w:ascii="宋体" w:hAnsi="宋体" w:eastAsia="宋体" w:cs="仿宋"/>
          <w:sz w:val="24"/>
          <w:vertAlign w:val="superscript"/>
        </w:rPr>
        <w:t>3</w:t>
      </w:r>
      <w:r>
        <w:rPr>
          <w:rFonts w:hint="eastAsia" w:ascii="宋体" w:hAnsi="宋体" w:eastAsia="宋体" w:cs="仿宋"/>
          <w:sz w:val="24"/>
        </w:rPr>
        <w:t>/d。</w:t>
      </w:r>
    </w:p>
    <w:p w14:paraId="4FE21D19">
      <w:pPr>
        <w:pStyle w:val="44"/>
        <w:numPr>
          <w:ilvl w:val="0"/>
          <w:numId w:val="13"/>
        </w:numPr>
        <w:spacing w:line="360" w:lineRule="auto"/>
        <w:ind w:firstLineChars="0"/>
        <w:rPr>
          <w:rFonts w:ascii="宋体" w:hAnsi="宋体" w:eastAsia="宋体" w:cs="仿宋"/>
          <w:b/>
          <w:bCs/>
          <w:sz w:val="24"/>
        </w:rPr>
      </w:pPr>
      <w:r>
        <w:rPr>
          <w:rFonts w:hint="eastAsia" w:ascii="宋体" w:hAnsi="宋体" w:eastAsia="宋体" w:cs="仿宋"/>
          <w:b/>
          <w:bCs/>
          <w:sz w:val="24"/>
        </w:rPr>
        <w:t>湟中区田家寨镇流水沟水源地</w:t>
      </w:r>
    </w:p>
    <w:p w14:paraId="5871328F">
      <w:pPr>
        <w:spacing w:line="360" w:lineRule="auto"/>
        <w:ind w:firstLine="480" w:firstLineChars="200"/>
        <w:rPr>
          <w:rFonts w:ascii="宋体" w:hAnsi="宋体" w:eastAsia="宋体" w:cs="仿宋"/>
          <w:sz w:val="24"/>
        </w:rPr>
      </w:pPr>
      <w:r>
        <w:rPr>
          <w:rFonts w:hint="eastAsia" w:ascii="宋体" w:hAnsi="宋体" w:eastAsia="宋体" w:cs="仿宋"/>
          <w:sz w:val="24"/>
        </w:rPr>
        <w:t>在田家寨镇流水沟水源地沉淀池旁边安装1套</w:t>
      </w:r>
      <w:r>
        <w:rPr>
          <w:rFonts w:hint="eastAsia" w:ascii="宋体" w:hAnsi="宋体" w:eastAsia="宋体" w:cs="Arial"/>
          <w:kern w:val="21"/>
          <w:sz w:val="24"/>
        </w:rPr>
        <w:t>浑浊度光电自动监测设备和数据采集传输装置的水质在线监测设备，</w:t>
      </w:r>
      <w:r>
        <w:rPr>
          <w:rFonts w:hint="eastAsia" w:ascii="宋体" w:hAnsi="宋体" w:eastAsia="宋体" w:cs="仿宋"/>
          <w:sz w:val="24"/>
        </w:rPr>
        <w:t>安装1套</w:t>
      </w:r>
      <w:r>
        <w:rPr>
          <w:rFonts w:hint="eastAsia" w:ascii="宋体" w:hAnsi="宋体" w:eastAsia="宋体" w:cs="Arial"/>
          <w:kern w:val="21"/>
          <w:sz w:val="24"/>
        </w:rPr>
        <w:t>视频监控摄像头、视频联动算法装置和无线网关的视频联动报警设备。采用220V本地供电，</w:t>
      </w:r>
      <w:r>
        <w:rPr>
          <w:rFonts w:hint="eastAsia" w:ascii="宋体" w:hAnsi="宋体" w:eastAsia="宋体" w:cs="仿宋"/>
          <w:sz w:val="24"/>
        </w:rPr>
        <w:t>此处由于受到现场环境条件的限制而无法采用本地供电方式，需采用太阳能供电，安装太阳能板和锂电池解决现场供电问题，要求太阳能板功率＞380W，锂电池容量≥200Ah。</w:t>
      </w:r>
    </w:p>
    <w:p w14:paraId="55E024C1">
      <w:pPr>
        <w:spacing w:line="360" w:lineRule="auto"/>
        <w:ind w:firstLine="480" w:firstLineChars="200"/>
        <w:rPr>
          <w:rFonts w:ascii="宋体" w:hAnsi="宋体" w:eastAsia="宋体" w:cs="仿宋"/>
          <w:sz w:val="24"/>
        </w:rPr>
      </w:pPr>
      <w:r>
        <w:rPr>
          <w:rFonts w:hint="eastAsia" w:ascii="宋体" w:hAnsi="宋体" w:eastAsia="宋体" w:cs="仿宋"/>
          <w:sz w:val="24"/>
        </w:rPr>
        <w:t>在水源地取水口安装1套警戒球机和无线网关的设备。此处由于受到现场环境条件的限制而无法采用本地供电方式，需采用太阳能供电，安装太阳能板和锂电池解决现场供电问题，要求太阳能板功率＞380W，锂电池容量≥200Ah。</w:t>
      </w:r>
    </w:p>
    <w:p w14:paraId="4DB3AB33">
      <w:pPr>
        <w:spacing w:line="360" w:lineRule="auto"/>
        <w:ind w:firstLine="480" w:firstLineChars="200"/>
        <w:rPr>
          <w:rFonts w:hint="eastAsia" w:ascii="宋体" w:hAnsi="宋体" w:eastAsia="宋体" w:cs="仿宋"/>
          <w:sz w:val="24"/>
        </w:rPr>
      </w:pPr>
      <w:r>
        <w:rPr>
          <w:rFonts w:hint="eastAsia" w:ascii="宋体" w:hAnsi="宋体" w:eastAsia="宋体" w:cs="仿宋"/>
          <w:sz w:val="24"/>
        </w:rPr>
        <w:t>设备现场安装位置图如下图所示：</w:t>
      </w:r>
    </w:p>
    <w:p w14:paraId="77ADA8E9">
      <w:pPr>
        <w:spacing w:line="360" w:lineRule="auto"/>
        <w:jc w:val="center"/>
        <w:rPr>
          <w:rFonts w:hint="eastAsia" w:ascii="宋体" w:hAnsi="宋体" w:eastAsia="宋体" w:cs="仿宋"/>
          <w:b/>
          <w:bCs/>
          <w:sz w:val="24"/>
        </w:rPr>
      </w:pPr>
      <w:r>
        <w:drawing>
          <wp:inline distT="0" distB="0" distL="0" distR="0">
            <wp:extent cx="2226945" cy="3959860"/>
            <wp:effectExtent l="0" t="0" r="1905" b="2540"/>
            <wp:docPr id="189176522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765224" name="图片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2227394" cy="3960000"/>
                    </a:xfrm>
                    <a:prstGeom prst="rect">
                      <a:avLst/>
                    </a:prstGeom>
                    <a:noFill/>
                    <a:ln>
                      <a:noFill/>
                    </a:ln>
                  </pic:spPr>
                </pic:pic>
              </a:graphicData>
            </a:graphic>
          </wp:inline>
        </w:drawing>
      </w:r>
    </w:p>
    <w:p w14:paraId="30833507">
      <w:pPr>
        <w:pStyle w:val="44"/>
        <w:numPr>
          <w:ilvl w:val="0"/>
          <w:numId w:val="13"/>
        </w:numPr>
        <w:spacing w:line="360" w:lineRule="auto"/>
        <w:ind w:firstLineChars="0"/>
        <w:rPr>
          <w:rFonts w:ascii="宋体" w:hAnsi="宋体" w:eastAsia="宋体" w:cs="仿宋"/>
          <w:b/>
          <w:bCs/>
          <w:sz w:val="24"/>
        </w:rPr>
      </w:pPr>
      <w:r>
        <w:rPr>
          <w:rFonts w:hint="eastAsia" w:ascii="宋体" w:hAnsi="宋体" w:eastAsia="宋体" w:cs="仿宋"/>
          <w:b/>
          <w:bCs/>
          <w:sz w:val="24"/>
        </w:rPr>
        <w:t>湟中区小南川水库水源地</w:t>
      </w:r>
    </w:p>
    <w:p w14:paraId="2B03E092">
      <w:pPr>
        <w:spacing w:line="360" w:lineRule="auto"/>
        <w:ind w:firstLine="480" w:firstLineChars="200"/>
        <w:rPr>
          <w:rFonts w:ascii="宋体" w:hAnsi="宋体" w:eastAsia="宋体" w:cs="Arial"/>
          <w:kern w:val="21"/>
          <w:sz w:val="24"/>
        </w:rPr>
      </w:pPr>
      <w:r>
        <w:rPr>
          <w:rFonts w:hint="eastAsia" w:ascii="宋体" w:hAnsi="宋体" w:eastAsia="宋体" w:cs="仿宋"/>
          <w:sz w:val="24"/>
        </w:rPr>
        <w:t>在小南川水库大坝中间位置安装1套</w:t>
      </w:r>
      <w:r>
        <w:rPr>
          <w:rFonts w:hint="eastAsia" w:ascii="宋体" w:hAnsi="宋体" w:eastAsia="宋体" w:cs="Arial"/>
          <w:kern w:val="21"/>
          <w:sz w:val="24"/>
        </w:rPr>
        <w:t>浑浊度光电自动监测设备和数据采集传输装置的水质在线监测设备，</w:t>
      </w:r>
      <w:r>
        <w:rPr>
          <w:rFonts w:hint="eastAsia" w:ascii="宋体" w:hAnsi="宋体" w:eastAsia="宋体" w:cs="仿宋"/>
          <w:sz w:val="24"/>
        </w:rPr>
        <w:t>安装1套</w:t>
      </w:r>
      <w:r>
        <w:rPr>
          <w:rFonts w:hint="eastAsia" w:ascii="宋体" w:hAnsi="宋体" w:eastAsia="宋体" w:cs="Arial"/>
          <w:kern w:val="21"/>
          <w:sz w:val="24"/>
        </w:rPr>
        <w:t>视频监控摄像头、视频联动算法装置和无线网关的视频联动报警设备。采用220V本地供电，就近从大坝的监控杆取电，根据取电位置到设备安装位置核算，预计电源线和线管各需要600米。</w:t>
      </w:r>
    </w:p>
    <w:p w14:paraId="2D3FD03E">
      <w:pPr>
        <w:spacing w:line="360" w:lineRule="auto"/>
        <w:ind w:firstLine="480" w:firstLineChars="200"/>
        <w:rPr>
          <w:rFonts w:ascii="宋体" w:hAnsi="宋体" w:eastAsia="宋体" w:cs="仿宋"/>
          <w:sz w:val="24"/>
        </w:rPr>
      </w:pPr>
      <w:r>
        <w:rPr>
          <w:rFonts w:hint="eastAsia" w:ascii="宋体" w:hAnsi="宋体" w:eastAsia="宋体" w:cs="仿宋"/>
          <w:sz w:val="24"/>
        </w:rPr>
        <w:t>在小南川水库大坝两侧各安装1套警戒球机和无线网关的设备。采用220V本地供电，</w:t>
      </w:r>
      <w:r>
        <w:rPr>
          <w:rFonts w:hint="eastAsia" w:ascii="宋体" w:hAnsi="宋体" w:eastAsia="宋体" w:cs="Arial"/>
          <w:kern w:val="21"/>
          <w:sz w:val="24"/>
        </w:rPr>
        <w:t>就近从大坝的监控杆取电，根据取电位置到设备安装位置核算，</w:t>
      </w:r>
      <w:r>
        <w:rPr>
          <w:rFonts w:hint="eastAsia" w:ascii="宋体" w:hAnsi="宋体" w:eastAsia="宋体" w:cs="仿宋"/>
          <w:sz w:val="24"/>
        </w:rPr>
        <w:t>预计电源线和线管各需要800米。</w:t>
      </w:r>
    </w:p>
    <w:p w14:paraId="0424AF32">
      <w:pPr>
        <w:spacing w:line="360" w:lineRule="auto"/>
        <w:ind w:firstLine="480" w:firstLineChars="200"/>
        <w:rPr>
          <w:rFonts w:hint="eastAsia" w:ascii="宋体" w:hAnsi="宋体" w:eastAsia="宋体" w:cs="仿宋"/>
          <w:sz w:val="24"/>
        </w:rPr>
      </w:pPr>
      <w:r>
        <w:rPr>
          <w:rFonts w:hint="eastAsia" w:ascii="宋体" w:hAnsi="宋体" w:eastAsia="宋体" w:cs="仿宋"/>
          <w:sz w:val="24"/>
        </w:rPr>
        <w:t>设备现场安装位置图如下图所示：</w:t>
      </w:r>
    </w:p>
    <w:p w14:paraId="60F8E9F1">
      <w:pPr>
        <w:spacing w:line="360" w:lineRule="auto"/>
        <w:rPr>
          <w:rFonts w:hint="eastAsia" w:ascii="宋体" w:hAnsi="宋体" w:eastAsia="宋体" w:cs="仿宋"/>
          <w:b/>
          <w:bCs/>
          <w:sz w:val="24"/>
        </w:rPr>
      </w:pPr>
      <w:r>
        <w:drawing>
          <wp:inline distT="0" distB="0" distL="0" distR="0">
            <wp:extent cx="5270500" cy="2964815"/>
            <wp:effectExtent l="0" t="0" r="6350" b="6985"/>
            <wp:docPr id="54308584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085849" name="图片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5270500" cy="2964815"/>
                    </a:xfrm>
                    <a:prstGeom prst="rect">
                      <a:avLst/>
                    </a:prstGeom>
                    <a:noFill/>
                    <a:ln>
                      <a:noFill/>
                    </a:ln>
                  </pic:spPr>
                </pic:pic>
              </a:graphicData>
            </a:graphic>
          </wp:inline>
        </w:drawing>
      </w:r>
    </w:p>
    <w:p w14:paraId="34962B6E">
      <w:pPr>
        <w:pStyle w:val="44"/>
        <w:numPr>
          <w:ilvl w:val="0"/>
          <w:numId w:val="13"/>
        </w:numPr>
        <w:spacing w:line="360" w:lineRule="auto"/>
        <w:ind w:firstLineChars="0"/>
        <w:rPr>
          <w:rFonts w:ascii="宋体" w:hAnsi="宋体" w:eastAsia="宋体" w:cs="仿宋"/>
          <w:b/>
          <w:bCs/>
          <w:sz w:val="24"/>
        </w:rPr>
      </w:pPr>
      <w:r>
        <w:rPr>
          <w:rFonts w:hint="eastAsia" w:ascii="宋体" w:hAnsi="宋体" w:eastAsia="宋体" w:cs="仿宋"/>
          <w:b/>
          <w:bCs/>
          <w:sz w:val="24"/>
        </w:rPr>
        <w:t>湟中区土门关乡香沟水库水源地</w:t>
      </w:r>
    </w:p>
    <w:p w14:paraId="40769477">
      <w:pPr>
        <w:spacing w:line="360" w:lineRule="auto"/>
        <w:ind w:firstLine="480" w:firstLineChars="200"/>
        <w:rPr>
          <w:rFonts w:ascii="宋体" w:hAnsi="宋体" w:eastAsia="宋体" w:cs="仿宋"/>
          <w:sz w:val="24"/>
        </w:rPr>
      </w:pPr>
      <w:r>
        <w:rPr>
          <w:rFonts w:hint="eastAsia" w:ascii="宋体" w:hAnsi="宋体" w:eastAsia="宋体" w:cs="仿宋"/>
          <w:sz w:val="24"/>
        </w:rPr>
        <w:t>湟中区土门关乡香沟水库水源地供水人口达</w:t>
      </w:r>
      <w:r>
        <w:rPr>
          <w:rFonts w:ascii="宋体" w:hAnsi="宋体" w:eastAsia="宋体" w:cs="仿宋"/>
          <w:sz w:val="24"/>
        </w:rPr>
        <w:t>9251</w:t>
      </w:r>
      <w:r>
        <w:rPr>
          <w:rFonts w:hint="eastAsia" w:ascii="宋体" w:hAnsi="宋体" w:eastAsia="宋体" w:cs="仿宋"/>
          <w:sz w:val="24"/>
        </w:rPr>
        <w:t>人，设计供水规模达</w:t>
      </w:r>
      <w:r>
        <w:rPr>
          <w:rFonts w:ascii="宋体" w:hAnsi="宋体" w:eastAsia="宋体" w:cs="仿宋"/>
          <w:sz w:val="24"/>
        </w:rPr>
        <w:t>1356.48</w:t>
      </w:r>
      <w:r>
        <w:rPr>
          <w:rFonts w:hint="eastAsia" w:ascii="宋体" w:hAnsi="宋体" w:eastAsia="宋体" w:cs="仿宋"/>
          <w:sz w:val="24"/>
        </w:rPr>
        <w:t>m</w:t>
      </w:r>
      <w:r>
        <w:rPr>
          <w:rFonts w:hint="eastAsia" w:ascii="宋体" w:hAnsi="宋体" w:eastAsia="宋体" w:cs="仿宋"/>
          <w:sz w:val="24"/>
          <w:vertAlign w:val="superscript"/>
        </w:rPr>
        <w:t>3</w:t>
      </w:r>
      <w:r>
        <w:rPr>
          <w:rFonts w:hint="eastAsia" w:ascii="宋体" w:hAnsi="宋体" w:eastAsia="宋体" w:cs="仿宋"/>
          <w:sz w:val="24"/>
        </w:rPr>
        <w:t>/d。</w:t>
      </w:r>
    </w:p>
    <w:p w14:paraId="0B9EA5D3">
      <w:pPr>
        <w:spacing w:line="360" w:lineRule="auto"/>
        <w:ind w:firstLine="480" w:firstLineChars="200"/>
        <w:rPr>
          <w:rFonts w:ascii="宋体" w:hAnsi="宋体" w:eastAsia="宋体" w:cs="Arial"/>
          <w:kern w:val="21"/>
          <w:sz w:val="24"/>
        </w:rPr>
      </w:pPr>
      <w:r>
        <w:rPr>
          <w:rFonts w:hint="eastAsia" w:ascii="宋体" w:hAnsi="宋体" w:eastAsia="宋体" w:cs="仿宋"/>
          <w:sz w:val="24"/>
        </w:rPr>
        <w:t>在水库大坝东侧安装1套</w:t>
      </w:r>
      <w:r>
        <w:rPr>
          <w:rFonts w:hint="eastAsia" w:ascii="宋体" w:hAnsi="宋体" w:eastAsia="宋体" w:cs="Arial"/>
          <w:kern w:val="21"/>
          <w:sz w:val="24"/>
        </w:rPr>
        <w:t>浑浊度光电自动监测设备和数据采集传输装置的水质在线监测设备，</w:t>
      </w:r>
      <w:r>
        <w:rPr>
          <w:rFonts w:hint="eastAsia" w:ascii="宋体" w:hAnsi="宋体" w:eastAsia="宋体" w:cs="仿宋"/>
          <w:sz w:val="24"/>
        </w:rPr>
        <w:t>安装1套</w:t>
      </w:r>
      <w:r>
        <w:rPr>
          <w:rFonts w:hint="eastAsia" w:ascii="宋体" w:hAnsi="宋体" w:eastAsia="宋体" w:cs="Arial"/>
          <w:kern w:val="21"/>
          <w:sz w:val="24"/>
        </w:rPr>
        <w:t>视频监控摄像头、视频联动算法装置和无线网关的视频联动报警设备。采用220V本地供电，就近从大坝的监控杆取电，根据取电位置到设备安装位置核算，预计电源线和线管各需要200米。</w:t>
      </w:r>
    </w:p>
    <w:p w14:paraId="604C4C0B">
      <w:pPr>
        <w:spacing w:line="360" w:lineRule="auto"/>
        <w:ind w:firstLine="480" w:firstLineChars="200"/>
        <w:rPr>
          <w:rFonts w:hint="eastAsia" w:ascii="宋体" w:hAnsi="宋体" w:eastAsia="宋体" w:cs="仿宋"/>
          <w:sz w:val="24"/>
        </w:rPr>
      </w:pPr>
      <w:r>
        <w:rPr>
          <w:rFonts w:hint="eastAsia" w:ascii="宋体" w:hAnsi="宋体" w:eastAsia="宋体" w:cs="仿宋"/>
          <w:sz w:val="24"/>
        </w:rPr>
        <w:t>水质在线监测设备和视频联动报警设备现场安装位置图如下图所示：</w:t>
      </w:r>
    </w:p>
    <w:p w14:paraId="6A0E2B45">
      <w:pPr>
        <w:spacing w:line="360" w:lineRule="auto"/>
        <w:jc w:val="center"/>
        <w:rPr>
          <w:rFonts w:hint="eastAsia" w:ascii="宋体" w:hAnsi="宋体" w:eastAsia="宋体" w:cs="仿宋"/>
          <w:b/>
          <w:bCs/>
          <w:sz w:val="24"/>
        </w:rPr>
      </w:pPr>
      <w:r>
        <w:drawing>
          <wp:inline distT="0" distB="0" distL="0" distR="0">
            <wp:extent cx="2226945" cy="3959860"/>
            <wp:effectExtent l="0" t="0" r="1905" b="2540"/>
            <wp:docPr id="205041246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412468" name="图片 1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2227394" cy="3960000"/>
                    </a:xfrm>
                    <a:prstGeom prst="rect">
                      <a:avLst/>
                    </a:prstGeom>
                    <a:noFill/>
                    <a:ln>
                      <a:noFill/>
                    </a:ln>
                  </pic:spPr>
                </pic:pic>
              </a:graphicData>
            </a:graphic>
          </wp:inline>
        </w:drawing>
      </w:r>
    </w:p>
    <w:p w14:paraId="3C9ED7C6">
      <w:pPr>
        <w:spacing w:line="360" w:lineRule="auto"/>
        <w:ind w:firstLine="480" w:firstLineChars="200"/>
        <w:rPr>
          <w:rFonts w:ascii="宋体" w:hAnsi="宋体" w:eastAsia="宋体" w:cs="仿宋"/>
          <w:sz w:val="24"/>
        </w:rPr>
      </w:pPr>
      <w:r>
        <w:rPr>
          <w:rFonts w:hint="eastAsia" w:ascii="宋体" w:hAnsi="宋体" w:eastAsia="宋体" w:cs="仿宋"/>
          <w:sz w:val="24"/>
        </w:rPr>
        <w:t>在大坝西侧安装1套警戒球机和无线网关的设备。采用220V本地供电，</w:t>
      </w:r>
      <w:r>
        <w:rPr>
          <w:rFonts w:hint="eastAsia" w:ascii="宋体" w:hAnsi="宋体" w:eastAsia="宋体" w:cs="Arial"/>
          <w:kern w:val="21"/>
          <w:sz w:val="24"/>
        </w:rPr>
        <w:t>就近从大坝的监控杆取电，根据取电位置到设备安装位置核算，</w:t>
      </w:r>
      <w:r>
        <w:rPr>
          <w:rFonts w:hint="eastAsia" w:ascii="宋体" w:hAnsi="宋体" w:eastAsia="宋体" w:cs="仿宋"/>
          <w:sz w:val="24"/>
        </w:rPr>
        <w:t>预计电源线和线管各需要200米。</w:t>
      </w:r>
    </w:p>
    <w:p w14:paraId="34C89B60">
      <w:pPr>
        <w:spacing w:line="360" w:lineRule="auto"/>
        <w:ind w:firstLine="480" w:firstLineChars="200"/>
        <w:rPr>
          <w:rFonts w:hint="eastAsia" w:ascii="宋体" w:hAnsi="宋体" w:eastAsia="宋体" w:cs="仿宋"/>
          <w:sz w:val="24"/>
        </w:rPr>
      </w:pPr>
      <w:r>
        <w:rPr>
          <w:rFonts w:hint="eastAsia" w:ascii="宋体" w:hAnsi="宋体" w:eastAsia="宋体" w:cs="仿宋"/>
          <w:sz w:val="24"/>
        </w:rPr>
        <w:t>警戒球机设备现场安装位置图如下图所示：</w:t>
      </w:r>
    </w:p>
    <w:p w14:paraId="3DEE5E59">
      <w:pPr>
        <w:spacing w:line="360" w:lineRule="auto"/>
        <w:jc w:val="center"/>
        <w:rPr>
          <w:rFonts w:hint="eastAsia" w:ascii="宋体" w:hAnsi="宋体" w:eastAsia="宋体" w:cs="仿宋"/>
          <w:b/>
          <w:bCs/>
          <w:sz w:val="24"/>
        </w:rPr>
      </w:pPr>
      <w:r>
        <w:drawing>
          <wp:inline distT="0" distB="0" distL="0" distR="0">
            <wp:extent cx="2226945" cy="3959860"/>
            <wp:effectExtent l="0" t="0" r="1905" b="2540"/>
            <wp:docPr id="158196118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961184" name="图片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2227394" cy="3960000"/>
                    </a:xfrm>
                    <a:prstGeom prst="rect">
                      <a:avLst/>
                    </a:prstGeom>
                    <a:noFill/>
                    <a:ln>
                      <a:noFill/>
                    </a:ln>
                  </pic:spPr>
                </pic:pic>
              </a:graphicData>
            </a:graphic>
          </wp:inline>
        </w:drawing>
      </w:r>
    </w:p>
    <w:p w14:paraId="000CE54B">
      <w:pPr>
        <w:pStyle w:val="44"/>
        <w:numPr>
          <w:ilvl w:val="0"/>
          <w:numId w:val="13"/>
        </w:numPr>
        <w:spacing w:line="360" w:lineRule="auto"/>
        <w:ind w:firstLineChars="0"/>
        <w:rPr>
          <w:rFonts w:ascii="宋体" w:hAnsi="宋体" w:eastAsia="宋体" w:cs="仿宋"/>
          <w:b/>
          <w:bCs/>
          <w:sz w:val="24"/>
        </w:rPr>
      </w:pPr>
      <w:r>
        <w:rPr>
          <w:rFonts w:hint="eastAsia" w:ascii="宋体" w:hAnsi="宋体" w:eastAsia="宋体" w:cs="仿宋"/>
          <w:b/>
          <w:bCs/>
          <w:sz w:val="24"/>
        </w:rPr>
        <w:t>湟中区田家寨镇安宁沟水源地</w:t>
      </w:r>
    </w:p>
    <w:p w14:paraId="00E7C844">
      <w:pPr>
        <w:spacing w:line="360" w:lineRule="auto"/>
        <w:ind w:firstLine="480" w:firstLineChars="200"/>
        <w:rPr>
          <w:rFonts w:hint="eastAsia" w:ascii="宋体" w:hAnsi="宋体" w:eastAsia="宋体" w:cs="仿宋"/>
          <w:b/>
          <w:bCs/>
          <w:sz w:val="24"/>
        </w:rPr>
      </w:pPr>
      <w:r>
        <w:rPr>
          <w:rFonts w:hint="eastAsia" w:ascii="宋体" w:hAnsi="宋体" w:eastAsia="宋体" w:cs="仿宋"/>
          <w:sz w:val="24"/>
        </w:rPr>
        <w:t>湟中区田家寨镇安宁沟水源地由于受到现场环境条件的限制而无法传输信号，导致数据无法上传，所以此处水源地暂不安装监测设备。</w:t>
      </w:r>
    </w:p>
    <w:p w14:paraId="09C528EB">
      <w:pPr>
        <w:pStyle w:val="44"/>
        <w:numPr>
          <w:ilvl w:val="0"/>
          <w:numId w:val="13"/>
        </w:numPr>
        <w:spacing w:line="360" w:lineRule="auto"/>
        <w:ind w:firstLineChars="0"/>
        <w:rPr>
          <w:rFonts w:ascii="宋体" w:hAnsi="宋体" w:eastAsia="宋体" w:cs="仿宋"/>
          <w:b/>
          <w:bCs/>
          <w:sz w:val="24"/>
        </w:rPr>
      </w:pPr>
      <w:r>
        <w:rPr>
          <w:rFonts w:hint="eastAsia" w:ascii="宋体" w:hAnsi="宋体" w:eastAsia="宋体" w:cs="仿宋"/>
          <w:b/>
          <w:bCs/>
          <w:sz w:val="24"/>
        </w:rPr>
        <w:t>湟中区共和镇盘道东岔水源地</w:t>
      </w:r>
    </w:p>
    <w:p w14:paraId="2EBCD086">
      <w:pPr>
        <w:spacing w:line="360" w:lineRule="auto"/>
        <w:ind w:firstLine="480" w:firstLineChars="200"/>
        <w:rPr>
          <w:rFonts w:ascii="宋体" w:hAnsi="宋体" w:eastAsia="宋体" w:cs="仿宋"/>
          <w:sz w:val="24"/>
        </w:rPr>
      </w:pPr>
      <w:r>
        <w:rPr>
          <w:rFonts w:hint="eastAsia" w:ascii="宋体" w:hAnsi="宋体" w:eastAsia="宋体" w:cs="仿宋"/>
          <w:sz w:val="24"/>
        </w:rPr>
        <w:t>湟中区共和镇盘道东岔水源地供水人口达</w:t>
      </w:r>
      <w:r>
        <w:rPr>
          <w:rFonts w:ascii="宋体" w:hAnsi="宋体" w:eastAsia="宋体" w:cs="仿宋"/>
          <w:sz w:val="24"/>
        </w:rPr>
        <w:t>25054</w:t>
      </w:r>
      <w:r>
        <w:rPr>
          <w:rFonts w:hint="eastAsia" w:ascii="宋体" w:hAnsi="宋体" w:eastAsia="宋体" w:cs="仿宋"/>
          <w:sz w:val="24"/>
        </w:rPr>
        <w:t>人，设计供水规模达</w:t>
      </w:r>
      <w:r>
        <w:rPr>
          <w:rFonts w:ascii="宋体" w:hAnsi="宋体" w:eastAsia="宋体" w:cs="仿宋"/>
          <w:sz w:val="24"/>
        </w:rPr>
        <w:t>1755.65</w:t>
      </w:r>
      <w:r>
        <w:rPr>
          <w:rFonts w:hint="eastAsia" w:ascii="宋体" w:hAnsi="宋体" w:eastAsia="宋体" w:cs="仿宋"/>
          <w:sz w:val="24"/>
        </w:rPr>
        <w:t>m</w:t>
      </w:r>
      <w:r>
        <w:rPr>
          <w:rFonts w:hint="eastAsia" w:ascii="宋体" w:hAnsi="宋体" w:eastAsia="宋体" w:cs="仿宋"/>
          <w:sz w:val="24"/>
          <w:vertAlign w:val="superscript"/>
        </w:rPr>
        <w:t>3</w:t>
      </w:r>
      <w:r>
        <w:rPr>
          <w:rFonts w:hint="eastAsia" w:ascii="宋体" w:hAnsi="宋体" w:eastAsia="宋体" w:cs="仿宋"/>
          <w:sz w:val="24"/>
        </w:rPr>
        <w:t>/d。</w:t>
      </w:r>
    </w:p>
    <w:p w14:paraId="1C986173">
      <w:pPr>
        <w:spacing w:line="360" w:lineRule="auto"/>
        <w:ind w:firstLine="480" w:firstLineChars="200"/>
        <w:rPr>
          <w:rFonts w:ascii="宋体" w:hAnsi="宋体" w:eastAsia="宋体" w:cs="Arial"/>
          <w:kern w:val="21"/>
          <w:sz w:val="24"/>
        </w:rPr>
      </w:pPr>
      <w:r>
        <w:rPr>
          <w:rFonts w:hint="eastAsia" w:ascii="宋体" w:hAnsi="宋体" w:eastAsia="宋体" w:cs="仿宋"/>
          <w:sz w:val="24"/>
        </w:rPr>
        <w:t>在水源地沉淀池设备房旁边安装1套</w:t>
      </w:r>
      <w:r>
        <w:rPr>
          <w:rFonts w:hint="eastAsia" w:ascii="宋体" w:hAnsi="宋体" w:eastAsia="宋体" w:cs="Arial"/>
          <w:kern w:val="21"/>
          <w:sz w:val="24"/>
        </w:rPr>
        <w:t>浑浊度光电自动监测设备和数据采集传输装置的水质在线监测设备，</w:t>
      </w:r>
      <w:r>
        <w:rPr>
          <w:rFonts w:hint="eastAsia" w:ascii="宋体" w:hAnsi="宋体" w:eastAsia="宋体" w:cs="仿宋"/>
          <w:sz w:val="24"/>
        </w:rPr>
        <w:t>安装1套</w:t>
      </w:r>
      <w:r>
        <w:rPr>
          <w:rFonts w:hint="eastAsia" w:ascii="宋体" w:hAnsi="宋体" w:eastAsia="宋体" w:cs="Arial"/>
          <w:kern w:val="21"/>
          <w:sz w:val="24"/>
        </w:rPr>
        <w:t>视频监控摄像头、视频联动算法装置和无线网关的视频联动报警设备。采用220V本地供电，从设备房取电，根据取电位置到设备安装位置核算，预计电源线和线管各需要900米。</w:t>
      </w:r>
    </w:p>
    <w:p w14:paraId="1CDF382B">
      <w:pPr>
        <w:spacing w:line="360" w:lineRule="auto"/>
        <w:ind w:firstLine="480" w:firstLineChars="200"/>
        <w:rPr>
          <w:rFonts w:hint="eastAsia" w:ascii="宋体" w:hAnsi="宋体" w:eastAsia="宋体" w:cs="仿宋"/>
          <w:sz w:val="24"/>
        </w:rPr>
      </w:pPr>
      <w:r>
        <w:rPr>
          <w:rFonts w:hint="eastAsia" w:ascii="宋体" w:hAnsi="宋体" w:eastAsia="宋体" w:cs="仿宋"/>
          <w:sz w:val="24"/>
        </w:rPr>
        <w:t>水质在线监测设备和视频联动报警设备现场安装位置图如下图所示：</w:t>
      </w:r>
    </w:p>
    <w:p w14:paraId="3A7A96B9">
      <w:pPr>
        <w:spacing w:line="360" w:lineRule="auto"/>
        <w:jc w:val="center"/>
        <w:rPr>
          <w:rFonts w:hint="eastAsia" w:ascii="宋体" w:hAnsi="宋体" w:eastAsia="宋体" w:cs="仿宋"/>
          <w:b/>
          <w:bCs/>
          <w:sz w:val="24"/>
        </w:rPr>
      </w:pPr>
      <w:r>
        <w:drawing>
          <wp:inline distT="0" distB="0" distL="0" distR="0">
            <wp:extent cx="2226945" cy="3959860"/>
            <wp:effectExtent l="0" t="0" r="1905" b="2540"/>
            <wp:docPr id="43734555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345551" name="图片 1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2227394" cy="3960000"/>
                    </a:xfrm>
                    <a:prstGeom prst="rect">
                      <a:avLst/>
                    </a:prstGeom>
                    <a:noFill/>
                    <a:ln>
                      <a:noFill/>
                    </a:ln>
                  </pic:spPr>
                </pic:pic>
              </a:graphicData>
            </a:graphic>
          </wp:inline>
        </w:drawing>
      </w:r>
    </w:p>
    <w:p w14:paraId="0BF50D87">
      <w:pPr>
        <w:spacing w:line="360" w:lineRule="auto"/>
        <w:ind w:firstLine="480" w:firstLineChars="200"/>
        <w:rPr>
          <w:rFonts w:ascii="宋体" w:hAnsi="宋体" w:eastAsia="宋体" w:cs="仿宋"/>
          <w:sz w:val="24"/>
        </w:rPr>
      </w:pPr>
      <w:r>
        <w:rPr>
          <w:rFonts w:hint="eastAsia" w:ascii="宋体" w:hAnsi="宋体" w:eastAsia="宋体" w:cs="仿宋"/>
          <w:sz w:val="24"/>
        </w:rPr>
        <w:t>在水源地取水口安装1套警戒球机和无线网关的设备。采用220V本地供电，从设备房取电，</w:t>
      </w:r>
      <w:r>
        <w:rPr>
          <w:rFonts w:hint="eastAsia" w:ascii="宋体" w:hAnsi="宋体" w:eastAsia="宋体" w:cs="Arial"/>
          <w:kern w:val="21"/>
          <w:sz w:val="24"/>
        </w:rPr>
        <w:t>根据取电位置到设备安装位置核算，</w:t>
      </w:r>
      <w:r>
        <w:rPr>
          <w:rFonts w:hint="eastAsia" w:ascii="宋体" w:hAnsi="宋体" w:eastAsia="宋体" w:cs="仿宋"/>
          <w:sz w:val="24"/>
        </w:rPr>
        <w:t>预计电源线和线管各需要1100米。</w:t>
      </w:r>
    </w:p>
    <w:p w14:paraId="5314B11C">
      <w:pPr>
        <w:spacing w:line="360" w:lineRule="auto"/>
        <w:ind w:firstLine="480" w:firstLineChars="200"/>
        <w:rPr>
          <w:rFonts w:hint="eastAsia" w:ascii="宋体" w:hAnsi="宋体" w:eastAsia="宋体" w:cs="仿宋"/>
          <w:sz w:val="24"/>
        </w:rPr>
      </w:pPr>
      <w:r>
        <w:rPr>
          <w:rFonts w:hint="eastAsia" w:ascii="宋体" w:hAnsi="宋体" w:eastAsia="宋体" w:cs="仿宋"/>
          <w:sz w:val="24"/>
        </w:rPr>
        <w:t>警戒球机设备现场安装位置图如下图所示：</w:t>
      </w:r>
    </w:p>
    <w:p w14:paraId="73B74F2C">
      <w:pPr>
        <w:spacing w:line="360" w:lineRule="auto"/>
        <w:jc w:val="center"/>
        <w:rPr>
          <w:rFonts w:hint="eastAsia" w:ascii="宋体" w:hAnsi="宋体" w:eastAsia="宋体" w:cs="仿宋"/>
          <w:b/>
          <w:bCs/>
          <w:sz w:val="24"/>
        </w:rPr>
      </w:pPr>
      <w:r>
        <w:drawing>
          <wp:inline distT="0" distB="0" distL="0" distR="0">
            <wp:extent cx="2226945" cy="3959860"/>
            <wp:effectExtent l="0" t="0" r="1905" b="2540"/>
            <wp:docPr id="167859633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596330" name="图片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2227394" cy="3960000"/>
                    </a:xfrm>
                    <a:prstGeom prst="rect">
                      <a:avLst/>
                    </a:prstGeom>
                    <a:noFill/>
                    <a:ln>
                      <a:noFill/>
                    </a:ln>
                  </pic:spPr>
                </pic:pic>
              </a:graphicData>
            </a:graphic>
          </wp:inline>
        </w:drawing>
      </w:r>
    </w:p>
    <w:p w14:paraId="6BBF7B76">
      <w:pPr>
        <w:pStyle w:val="44"/>
        <w:numPr>
          <w:ilvl w:val="0"/>
          <w:numId w:val="13"/>
        </w:numPr>
        <w:spacing w:line="360" w:lineRule="auto"/>
        <w:ind w:firstLineChars="0"/>
        <w:rPr>
          <w:rFonts w:ascii="宋体" w:hAnsi="宋体" w:eastAsia="宋体" w:cs="仿宋"/>
          <w:b/>
          <w:bCs/>
          <w:sz w:val="24"/>
        </w:rPr>
      </w:pPr>
      <w:r>
        <w:rPr>
          <w:rFonts w:hint="eastAsia" w:ascii="宋体" w:hAnsi="宋体" w:eastAsia="宋体" w:cs="仿宋"/>
          <w:b/>
          <w:bCs/>
          <w:sz w:val="24"/>
        </w:rPr>
        <w:t>湟中区南朔山水源地</w:t>
      </w:r>
    </w:p>
    <w:p w14:paraId="64C43E20">
      <w:pPr>
        <w:spacing w:line="360" w:lineRule="auto"/>
        <w:ind w:firstLine="480" w:firstLineChars="200"/>
        <w:rPr>
          <w:rFonts w:ascii="宋体" w:hAnsi="宋体" w:eastAsia="宋体" w:cs="仿宋"/>
          <w:sz w:val="24"/>
        </w:rPr>
      </w:pPr>
      <w:r>
        <w:rPr>
          <w:rFonts w:hint="eastAsia" w:ascii="宋体" w:hAnsi="宋体" w:eastAsia="宋体" w:cs="仿宋"/>
          <w:sz w:val="24"/>
        </w:rPr>
        <w:t>湟中区南朔山水源地供水人口达</w:t>
      </w:r>
      <w:r>
        <w:rPr>
          <w:rFonts w:ascii="宋体" w:hAnsi="宋体" w:eastAsia="宋体" w:cs="仿宋"/>
          <w:sz w:val="24"/>
        </w:rPr>
        <w:t>16030</w:t>
      </w:r>
      <w:r>
        <w:rPr>
          <w:rFonts w:hint="eastAsia" w:ascii="宋体" w:hAnsi="宋体" w:eastAsia="宋体" w:cs="仿宋"/>
          <w:sz w:val="24"/>
        </w:rPr>
        <w:t>人，设计供水规模达</w:t>
      </w:r>
      <w:r>
        <w:rPr>
          <w:rFonts w:ascii="宋体" w:hAnsi="宋体" w:eastAsia="宋体" w:cs="仿宋"/>
          <w:sz w:val="24"/>
        </w:rPr>
        <w:t>5198</w:t>
      </w:r>
      <w:r>
        <w:rPr>
          <w:rFonts w:hint="eastAsia" w:ascii="宋体" w:hAnsi="宋体" w:eastAsia="宋体" w:cs="仿宋"/>
          <w:sz w:val="24"/>
        </w:rPr>
        <w:t>m</w:t>
      </w:r>
      <w:r>
        <w:rPr>
          <w:rFonts w:hint="eastAsia" w:ascii="宋体" w:hAnsi="宋体" w:eastAsia="宋体" w:cs="仿宋"/>
          <w:sz w:val="24"/>
          <w:vertAlign w:val="superscript"/>
        </w:rPr>
        <w:t>3</w:t>
      </w:r>
      <w:r>
        <w:rPr>
          <w:rFonts w:hint="eastAsia" w:ascii="宋体" w:hAnsi="宋体" w:eastAsia="宋体" w:cs="仿宋"/>
          <w:sz w:val="24"/>
        </w:rPr>
        <w:t>/d。</w:t>
      </w:r>
    </w:p>
    <w:p w14:paraId="5790464A">
      <w:pPr>
        <w:spacing w:line="360" w:lineRule="auto"/>
        <w:ind w:firstLine="480" w:firstLineChars="200"/>
        <w:rPr>
          <w:rFonts w:ascii="宋体" w:hAnsi="宋体" w:eastAsia="宋体" w:cs="Arial"/>
          <w:kern w:val="21"/>
          <w:sz w:val="24"/>
        </w:rPr>
      </w:pPr>
      <w:r>
        <w:rPr>
          <w:rFonts w:hint="eastAsia" w:ascii="宋体" w:hAnsi="宋体" w:eastAsia="宋体" w:cs="仿宋"/>
          <w:sz w:val="24"/>
        </w:rPr>
        <w:t>在水源地沉淀池设备房旁边安装1套</w:t>
      </w:r>
      <w:r>
        <w:rPr>
          <w:rFonts w:hint="eastAsia" w:ascii="宋体" w:hAnsi="宋体" w:eastAsia="宋体" w:cs="Arial"/>
          <w:kern w:val="21"/>
          <w:sz w:val="24"/>
        </w:rPr>
        <w:t>浑浊度光电自动监测设备和数据采集传输装置的水质在线监测设备，</w:t>
      </w:r>
      <w:r>
        <w:rPr>
          <w:rFonts w:hint="eastAsia" w:ascii="宋体" w:hAnsi="宋体" w:eastAsia="宋体" w:cs="仿宋"/>
          <w:sz w:val="24"/>
        </w:rPr>
        <w:t>安装1套</w:t>
      </w:r>
      <w:r>
        <w:rPr>
          <w:rFonts w:hint="eastAsia" w:ascii="宋体" w:hAnsi="宋体" w:eastAsia="宋体" w:cs="Arial"/>
          <w:kern w:val="21"/>
          <w:sz w:val="24"/>
        </w:rPr>
        <w:t>视频监控摄像头、视频联动算法装置和无线网关的视频联动报警设备。采用220V本地供电，从设备房取电，根据取电位置到设备安装位置核算，预计电源线和线管各需要300米。</w:t>
      </w:r>
    </w:p>
    <w:p w14:paraId="54E5579A">
      <w:pPr>
        <w:spacing w:line="360" w:lineRule="auto"/>
        <w:ind w:firstLine="480" w:firstLineChars="200"/>
        <w:rPr>
          <w:rFonts w:hint="eastAsia" w:ascii="宋体" w:hAnsi="宋体" w:eastAsia="宋体" w:cs="仿宋"/>
          <w:sz w:val="24"/>
        </w:rPr>
      </w:pPr>
      <w:r>
        <w:rPr>
          <w:rFonts w:hint="eastAsia" w:ascii="宋体" w:hAnsi="宋体" w:eastAsia="宋体" w:cs="仿宋"/>
          <w:sz w:val="24"/>
        </w:rPr>
        <w:t>水质在线监测设备和视频联动报警设备现场安装位置图如下图所示：</w:t>
      </w:r>
    </w:p>
    <w:p w14:paraId="7D5E9D29">
      <w:pPr>
        <w:spacing w:line="360" w:lineRule="auto"/>
        <w:rPr>
          <w:rFonts w:hint="eastAsia" w:ascii="宋体" w:hAnsi="宋体" w:eastAsia="宋体" w:cs="仿宋"/>
          <w:b/>
          <w:bCs/>
          <w:sz w:val="24"/>
        </w:rPr>
      </w:pPr>
      <w:r>
        <w:drawing>
          <wp:inline distT="0" distB="0" distL="0" distR="0">
            <wp:extent cx="5270500" cy="2964815"/>
            <wp:effectExtent l="0" t="0" r="6350" b="6985"/>
            <wp:docPr id="180778929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789299" name="图片 2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270500" cy="2964815"/>
                    </a:xfrm>
                    <a:prstGeom prst="rect">
                      <a:avLst/>
                    </a:prstGeom>
                    <a:noFill/>
                    <a:ln>
                      <a:noFill/>
                    </a:ln>
                  </pic:spPr>
                </pic:pic>
              </a:graphicData>
            </a:graphic>
          </wp:inline>
        </w:drawing>
      </w:r>
    </w:p>
    <w:p w14:paraId="31C03584">
      <w:pPr>
        <w:spacing w:line="360" w:lineRule="auto"/>
        <w:ind w:firstLine="480" w:firstLineChars="200"/>
        <w:rPr>
          <w:rFonts w:ascii="宋体" w:hAnsi="宋体" w:eastAsia="宋体" w:cs="仿宋"/>
          <w:sz w:val="24"/>
        </w:rPr>
      </w:pPr>
      <w:r>
        <w:rPr>
          <w:rFonts w:hint="eastAsia" w:ascii="宋体" w:hAnsi="宋体" w:eastAsia="宋体" w:cs="仿宋"/>
          <w:sz w:val="24"/>
        </w:rPr>
        <w:t>在水源地取水口安装1套警戒球机和无线网关的设备。采用220V本地供电，从设备房取电，</w:t>
      </w:r>
      <w:r>
        <w:rPr>
          <w:rFonts w:hint="eastAsia" w:ascii="宋体" w:hAnsi="宋体" w:eastAsia="宋体" w:cs="Arial"/>
          <w:kern w:val="21"/>
          <w:sz w:val="24"/>
        </w:rPr>
        <w:t>根据取电位置到设备安装位置核算，</w:t>
      </w:r>
      <w:r>
        <w:rPr>
          <w:rFonts w:hint="eastAsia" w:ascii="宋体" w:hAnsi="宋体" w:eastAsia="宋体" w:cs="仿宋"/>
          <w:sz w:val="24"/>
        </w:rPr>
        <w:t>预计电源线和线管各需要200米。</w:t>
      </w:r>
    </w:p>
    <w:p w14:paraId="35D1DA1A">
      <w:pPr>
        <w:spacing w:line="360" w:lineRule="auto"/>
        <w:ind w:firstLine="480" w:firstLineChars="200"/>
        <w:rPr>
          <w:rFonts w:hint="eastAsia" w:ascii="宋体" w:hAnsi="宋体" w:eastAsia="宋体" w:cs="仿宋"/>
          <w:sz w:val="24"/>
        </w:rPr>
      </w:pPr>
      <w:r>
        <w:rPr>
          <w:rFonts w:hint="eastAsia" w:ascii="宋体" w:hAnsi="宋体" w:eastAsia="宋体" w:cs="仿宋"/>
          <w:sz w:val="24"/>
        </w:rPr>
        <w:t>警戒球机设备现场安装位置图如下图所示：</w:t>
      </w:r>
    </w:p>
    <w:p w14:paraId="2EC3C02D">
      <w:pPr>
        <w:spacing w:line="360" w:lineRule="auto"/>
        <w:rPr>
          <w:rFonts w:hint="eastAsia" w:ascii="宋体" w:hAnsi="宋体" w:eastAsia="宋体" w:cs="仿宋"/>
          <w:b/>
          <w:bCs/>
          <w:sz w:val="24"/>
        </w:rPr>
      </w:pPr>
      <w:r>
        <w:drawing>
          <wp:inline distT="0" distB="0" distL="0" distR="0">
            <wp:extent cx="5270500" cy="2964815"/>
            <wp:effectExtent l="0" t="0" r="6350" b="6985"/>
            <wp:docPr id="9339548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954821" name="图片 2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5270500" cy="2964815"/>
                    </a:xfrm>
                    <a:prstGeom prst="rect">
                      <a:avLst/>
                    </a:prstGeom>
                    <a:noFill/>
                    <a:ln>
                      <a:noFill/>
                    </a:ln>
                  </pic:spPr>
                </pic:pic>
              </a:graphicData>
            </a:graphic>
          </wp:inline>
        </w:drawing>
      </w:r>
    </w:p>
    <w:p w14:paraId="2BF05F4A">
      <w:pPr>
        <w:pStyle w:val="44"/>
        <w:numPr>
          <w:ilvl w:val="0"/>
          <w:numId w:val="13"/>
        </w:numPr>
        <w:spacing w:line="360" w:lineRule="auto"/>
        <w:ind w:firstLineChars="0"/>
        <w:rPr>
          <w:rFonts w:ascii="宋体" w:hAnsi="宋体" w:eastAsia="宋体" w:cs="仿宋"/>
          <w:b/>
          <w:bCs/>
          <w:sz w:val="24"/>
        </w:rPr>
      </w:pPr>
      <w:r>
        <w:rPr>
          <w:rFonts w:hint="eastAsia" w:ascii="宋体" w:hAnsi="宋体" w:eastAsia="宋体" w:cs="仿宋"/>
          <w:b/>
          <w:bCs/>
          <w:sz w:val="24"/>
        </w:rPr>
        <w:t>湟中区拉尔贯水源地</w:t>
      </w:r>
    </w:p>
    <w:p w14:paraId="03A6A600">
      <w:pPr>
        <w:spacing w:line="360" w:lineRule="auto"/>
        <w:ind w:firstLine="480" w:firstLineChars="200"/>
        <w:rPr>
          <w:rFonts w:ascii="宋体" w:hAnsi="宋体" w:eastAsia="宋体" w:cs="仿宋"/>
          <w:sz w:val="24"/>
        </w:rPr>
      </w:pPr>
      <w:r>
        <w:rPr>
          <w:rFonts w:hint="eastAsia" w:ascii="宋体" w:hAnsi="宋体" w:eastAsia="宋体" w:cs="仿宋"/>
          <w:sz w:val="24"/>
        </w:rPr>
        <w:t>湟中区拉尔贯水源地供水人口达</w:t>
      </w:r>
      <w:r>
        <w:rPr>
          <w:rFonts w:ascii="宋体" w:hAnsi="宋体" w:eastAsia="宋体" w:cs="仿宋"/>
          <w:sz w:val="24"/>
        </w:rPr>
        <w:t>8580</w:t>
      </w:r>
      <w:r>
        <w:rPr>
          <w:rFonts w:hint="eastAsia" w:ascii="宋体" w:hAnsi="宋体" w:eastAsia="宋体" w:cs="仿宋"/>
          <w:sz w:val="24"/>
        </w:rPr>
        <w:t>人，设计供水规模达</w:t>
      </w:r>
      <w:r>
        <w:rPr>
          <w:rFonts w:ascii="宋体" w:hAnsi="宋体" w:eastAsia="宋体" w:cs="仿宋"/>
          <w:sz w:val="24"/>
        </w:rPr>
        <w:t>1057.5</w:t>
      </w:r>
      <w:r>
        <w:rPr>
          <w:rFonts w:hint="eastAsia" w:ascii="宋体" w:hAnsi="宋体" w:eastAsia="宋体" w:cs="仿宋"/>
          <w:sz w:val="24"/>
        </w:rPr>
        <w:t>m</w:t>
      </w:r>
      <w:r>
        <w:rPr>
          <w:rFonts w:hint="eastAsia" w:ascii="宋体" w:hAnsi="宋体" w:eastAsia="宋体" w:cs="仿宋"/>
          <w:sz w:val="24"/>
          <w:vertAlign w:val="superscript"/>
        </w:rPr>
        <w:t>3</w:t>
      </w:r>
      <w:r>
        <w:rPr>
          <w:rFonts w:hint="eastAsia" w:ascii="宋体" w:hAnsi="宋体" w:eastAsia="宋体" w:cs="仿宋"/>
          <w:sz w:val="24"/>
        </w:rPr>
        <w:t>/d。</w:t>
      </w:r>
    </w:p>
    <w:p w14:paraId="2B3B0167">
      <w:pPr>
        <w:spacing w:line="360" w:lineRule="auto"/>
        <w:ind w:firstLine="480" w:firstLineChars="200"/>
        <w:rPr>
          <w:rFonts w:ascii="宋体" w:hAnsi="宋体" w:eastAsia="宋体" w:cs="Arial"/>
          <w:kern w:val="21"/>
          <w:sz w:val="24"/>
        </w:rPr>
      </w:pPr>
      <w:r>
        <w:rPr>
          <w:rFonts w:hint="eastAsia" w:ascii="宋体" w:hAnsi="宋体" w:eastAsia="宋体" w:cs="仿宋"/>
          <w:sz w:val="24"/>
        </w:rPr>
        <w:t>在水源地沉淀池进水口安装1套</w:t>
      </w:r>
      <w:r>
        <w:rPr>
          <w:rFonts w:hint="eastAsia" w:ascii="宋体" w:hAnsi="宋体" w:eastAsia="宋体" w:cs="Arial"/>
          <w:kern w:val="21"/>
          <w:sz w:val="24"/>
        </w:rPr>
        <w:t>浑浊度光电自动监测设备和数据采集传输装置的水质在线监测设备，</w:t>
      </w:r>
      <w:r>
        <w:rPr>
          <w:rFonts w:hint="eastAsia" w:ascii="宋体" w:hAnsi="宋体" w:eastAsia="宋体" w:cs="仿宋"/>
          <w:sz w:val="24"/>
        </w:rPr>
        <w:t>安装1套</w:t>
      </w:r>
      <w:r>
        <w:rPr>
          <w:rFonts w:hint="eastAsia" w:ascii="宋体" w:hAnsi="宋体" w:eastAsia="宋体" w:cs="Arial"/>
          <w:kern w:val="21"/>
          <w:sz w:val="24"/>
        </w:rPr>
        <w:t>视频监控摄像头、视频联动算法装置和无线网关的视频联动报警设备。采用220V本地供电，从设备房取电，根据取电位置到设备安装位置核算，预计电源线和线管各需要400米。</w:t>
      </w:r>
    </w:p>
    <w:p w14:paraId="11B19720">
      <w:pPr>
        <w:spacing w:line="360" w:lineRule="auto"/>
        <w:ind w:firstLine="480" w:firstLineChars="200"/>
        <w:rPr>
          <w:rFonts w:hint="eastAsia" w:ascii="宋体" w:hAnsi="宋体" w:eastAsia="宋体" w:cs="仿宋"/>
          <w:sz w:val="24"/>
        </w:rPr>
      </w:pPr>
      <w:r>
        <w:rPr>
          <w:rFonts w:hint="eastAsia" w:ascii="宋体" w:hAnsi="宋体" w:eastAsia="宋体" w:cs="仿宋"/>
          <w:sz w:val="24"/>
        </w:rPr>
        <w:t>水质在线监测设备和视频联动报警设备现场安装位置图如下图所示：</w:t>
      </w:r>
    </w:p>
    <w:p w14:paraId="64FF5DC5">
      <w:pPr>
        <w:spacing w:line="360" w:lineRule="auto"/>
        <w:rPr>
          <w:rFonts w:hint="eastAsia" w:ascii="宋体" w:hAnsi="宋体" w:eastAsia="宋体" w:cs="仿宋"/>
          <w:b/>
          <w:bCs/>
          <w:sz w:val="24"/>
        </w:rPr>
      </w:pPr>
      <w:r>
        <w:drawing>
          <wp:inline distT="0" distB="0" distL="0" distR="0">
            <wp:extent cx="5270500" cy="2964815"/>
            <wp:effectExtent l="0" t="0" r="6350" b="6985"/>
            <wp:docPr id="92312078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120781" name="图片 2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5270500" cy="2964815"/>
                    </a:xfrm>
                    <a:prstGeom prst="rect">
                      <a:avLst/>
                    </a:prstGeom>
                    <a:noFill/>
                    <a:ln>
                      <a:noFill/>
                    </a:ln>
                  </pic:spPr>
                </pic:pic>
              </a:graphicData>
            </a:graphic>
          </wp:inline>
        </w:drawing>
      </w:r>
    </w:p>
    <w:p w14:paraId="33BD42C8">
      <w:pPr>
        <w:spacing w:line="360" w:lineRule="auto"/>
        <w:ind w:firstLine="480" w:firstLineChars="200"/>
        <w:rPr>
          <w:rFonts w:ascii="宋体" w:hAnsi="宋体" w:eastAsia="宋体" w:cs="仿宋"/>
          <w:sz w:val="24"/>
        </w:rPr>
      </w:pPr>
      <w:r>
        <w:rPr>
          <w:rFonts w:hint="eastAsia" w:ascii="宋体" w:hAnsi="宋体" w:eastAsia="宋体" w:cs="仿宋"/>
          <w:sz w:val="24"/>
        </w:rPr>
        <w:t>在水源地取水口安装1套警戒球机和无线网关的设备。采用220V本地供电，从设备房取电，</w:t>
      </w:r>
      <w:r>
        <w:rPr>
          <w:rFonts w:hint="eastAsia" w:ascii="宋体" w:hAnsi="宋体" w:eastAsia="宋体" w:cs="Arial"/>
          <w:kern w:val="21"/>
          <w:sz w:val="24"/>
        </w:rPr>
        <w:t>根据取电位置到设备安装位置核算，</w:t>
      </w:r>
      <w:r>
        <w:rPr>
          <w:rFonts w:hint="eastAsia" w:ascii="宋体" w:hAnsi="宋体" w:eastAsia="宋体" w:cs="仿宋"/>
          <w:sz w:val="24"/>
        </w:rPr>
        <w:t>预计电源线和线管各200米。</w:t>
      </w:r>
    </w:p>
    <w:p w14:paraId="7EB7C1ED">
      <w:pPr>
        <w:spacing w:line="360" w:lineRule="auto"/>
        <w:ind w:firstLine="480" w:firstLineChars="200"/>
        <w:rPr>
          <w:rFonts w:hint="eastAsia" w:ascii="宋体" w:hAnsi="宋体" w:eastAsia="宋体" w:cs="仿宋"/>
          <w:sz w:val="24"/>
        </w:rPr>
      </w:pPr>
      <w:r>
        <w:rPr>
          <w:rFonts w:hint="eastAsia" w:ascii="宋体" w:hAnsi="宋体" w:eastAsia="宋体" w:cs="仿宋"/>
          <w:sz w:val="24"/>
        </w:rPr>
        <w:t>警戒球机设备现场安装位置图如下图所示：</w:t>
      </w:r>
    </w:p>
    <w:p w14:paraId="2C468C42">
      <w:pPr>
        <w:spacing w:line="360" w:lineRule="auto"/>
        <w:rPr>
          <w:rFonts w:hint="eastAsia" w:ascii="宋体" w:hAnsi="宋体" w:eastAsia="宋体" w:cs="仿宋"/>
          <w:b/>
          <w:bCs/>
          <w:sz w:val="24"/>
        </w:rPr>
      </w:pPr>
      <w:r>
        <w:drawing>
          <wp:inline distT="0" distB="0" distL="0" distR="0">
            <wp:extent cx="5270500" cy="2964815"/>
            <wp:effectExtent l="0" t="0" r="6350" b="6985"/>
            <wp:docPr id="134621894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218942" name="图片 2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5270500" cy="2964815"/>
                    </a:xfrm>
                    <a:prstGeom prst="rect">
                      <a:avLst/>
                    </a:prstGeom>
                    <a:noFill/>
                    <a:ln>
                      <a:noFill/>
                    </a:ln>
                  </pic:spPr>
                </pic:pic>
              </a:graphicData>
            </a:graphic>
          </wp:inline>
        </w:drawing>
      </w:r>
    </w:p>
    <w:p w14:paraId="3F84603E">
      <w:pPr>
        <w:pStyle w:val="44"/>
        <w:numPr>
          <w:ilvl w:val="0"/>
          <w:numId w:val="13"/>
        </w:numPr>
        <w:spacing w:line="360" w:lineRule="auto"/>
        <w:ind w:firstLineChars="0"/>
        <w:rPr>
          <w:rFonts w:ascii="宋体" w:hAnsi="宋体" w:eastAsia="宋体" w:cs="仿宋"/>
          <w:b/>
          <w:bCs/>
          <w:sz w:val="24"/>
        </w:rPr>
      </w:pPr>
      <w:r>
        <w:rPr>
          <w:rFonts w:hint="eastAsia" w:ascii="宋体" w:hAnsi="宋体" w:eastAsia="宋体" w:cs="仿宋"/>
          <w:b/>
          <w:bCs/>
          <w:sz w:val="24"/>
        </w:rPr>
        <w:t>湟中区盘道水库水源地</w:t>
      </w:r>
    </w:p>
    <w:p w14:paraId="7B56A1DC">
      <w:pPr>
        <w:spacing w:line="360" w:lineRule="auto"/>
        <w:ind w:firstLine="480" w:firstLineChars="200"/>
        <w:rPr>
          <w:rFonts w:ascii="宋体" w:hAnsi="宋体" w:eastAsia="宋体" w:cs="仿宋"/>
          <w:sz w:val="24"/>
        </w:rPr>
      </w:pPr>
      <w:r>
        <w:rPr>
          <w:rFonts w:hint="eastAsia" w:ascii="宋体" w:hAnsi="宋体" w:eastAsia="宋体" w:cs="仿宋"/>
          <w:sz w:val="24"/>
        </w:rPr>
        <w:t>湟中区盘道水库水源地供水人口达</w:t>
      </w:r>
      <w:r>
        <w:rPr>
          <w:rFonts w:ascii="宋体" w:hAnsi="宋体" w:eastAsia="宋体" w:cs="仿宋"/>
          <w:sz w:val="24"/>
        </w:rPr>
        <w:t>11655</w:t>
      </w:r>
      <w:r>
        <w:rPr>
          <w:rFonts w:hint="eastAsia" w:ascii="宋体" w:hAnsi="宋体" w:eastAsia="宋体" w:cs="仿宋"/>
          <w:sz w:val="24"/>
        </w:rPr>
        <w:t>人，设计供水规模达</w:t>
      </w:r>
      <w:r>
        <w:rPr>
          <w:rFonts w:ascii="宋体" w:hAnsi="宋体" w:eastAsia="宋体" w:cs="仿宋"/>
          <w:sz w:val="24"/>
        </w:rPr>
        <w:t>4976</w:t>
      </w:r>
      <w:r>
        <w:rPr>
          <w:rFonts w:hint="eastAsia" w:ascii="宋体" w:hAnsi="宋体" w:eastAsia="宋体" w:cs="仿宋"/>
          <w:sz w:val="24"/>
        </w:rPr>
        <w:t>m</w:t>
      </w:r>
      <w:r>
        <w:rPr>
          <w:rFonts w:hint="eastAsia" w:ascii="宋体" w:hAnsi="宋体" w:eastAsia="宋体" w:cs="仿宋"/>
          <w:sz w:val="24"/>
          <w:vertAlign w:val="superscript"/>
        </w:rPr>
        <w:t>3</w:t>
      </w:r>
      <w:r>
        <w:rPr>
          <w:rFonts w:hint="eastAsia" w:ascii="宋体" w:hAnsi="宋体" w:eastAsia="宋体" w:cs="仿宋"/>
          <w:sz w:val="24"/>
        </w:rPr>
        <w:t>/d。</w:t>
      </w:r>
    </w:p>
    <w:p w14:paraId="458C5FFF">
      <w:pPr>
        <w:spacing w:line="360" w:lineRule="auto"/>
        <w:ind w:firstLine="480" w:firstLineChars="200"/>
        <w:rPr>
          <w:rFonts w:ascii="宋体" w:hAnsi="宋体" w:eastAsia="宋体" w:cs="Arial"/>
          <w:kern w:val="21"/>
          <w:sz w:val="24"/>
        </w:rPr>
      </w:pPr>
      <w:r>
        <w:rPr>
          <w:rFonts w:hint="eastAsia" w:ascii="宋体" w:hAnsi="宋体" w:eastAsia="宋体" w:cs="仿宋"/>
          <w:sz w:val="24"/>
        </w:rPr>
        <w:t>在水源地取水口和大坝附近各安装1套</w:t>
      </w:r>
      <w:r>
        <w:rPr>
          <w:rFonts w:hint="eastAsia" w:ascii="宋体" w:hAnsi="宋体" w:eastAsia="宋体" w:cs="Arial"/>
          <w:kern w:val="21"/>
          <w:sz w:val="24"/>
        </w:rPr>
        <w:t>浑浊度光电自动监测设备和数据采集传输装置的水质在线监测设备，</w:t>
      </w:r>
      <w:r>
        <w:rPr>
          <w:rFonts w:hint="eastAsia" w:ascii="宋体" w:hAnsi="宋体" w:eastAsia="宋体" w:cs="仿宋"/>
          <w:sz w:val="24"/>
        </w:rPr>
        <w:t>各安装1套</w:t>
      </w:r>
      <w:r>
        <w:rPr>
          <w:rFonts w:hint="eastAsia" w:ascii="宋体" w:hAnsi="宋体" w:eastAsia="宋体" w:cs="Arial"/>
          <w:kern w:val="21"/>
          <w:sz w:val="24"/>
        </w:rPr>
        <w:t>视频监控摄像头、视频联动算法装置和无线网关的视频联动报警设备。采用220V本地供电，从大坝就近取电，根据取电位置到设备安装位置核算，预计电源线和线管各需要500米。</w:t>
      </w:r>
    </w:p>
    <w:p w14:paraId="354B82D8">
      <w:pPr>
        <w:spacing w:line="360" w:lineRule="auto"/>
        <w:ind w:firstLine="480" w:firstLineChars="200"/>
        <w:rPr>
          <w:rFonts w:hint="eastAsia" w:ascii="宋体" w:hAnsi="宋体" w:eastAsia="宋体" w:cs="仿宋"/>
          <w:sz w:val="24"/>
        </w:rPr>
      </w:pPr>
      <w:r>
        <w:rPr>
          <w:rFonts w:hint="eastAsia" w:ascii="宋体" w:hAnsi="宋体" w:eastAsia="宋体" w:cs="仿宋"/>
          <w:sz w:val="24"/>
        </w:rPr>
        <w:t>水质在线监测设备和视频联动报警设备现场安装位置图如下图所示：</w:t>
      </w:r>
    </w:p>
    <w:p w14:paraId="2CE75DB4">
      <w:pPr>
        <w:spacing w:line="360" w:lineRule="auto"/>
        <w:rPr>
          <w:rFonts w:hint="eastAsia" w:ascii="宋体" w:hAnsi="宋体" w:eastAsia="宋体" w:cs="仿宋"/>
          <w:b/>
          <w:bCs/>
          <w:sz w:val="24"/>
        </w:rPr>
      </w:pPr>
      <w:r>
        <w:drawing>
          <wp:inline distT="0" distB="0" distL="0" distR="0">
            <wp:extent cx="5270500" cy="2964815"/>
            <wp:effectExtent l="0" t="0" r="6350" b="6985"/>
            <wp:docPr id="21961273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612739" name="图片 2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5270500" cy="2964815"/>
                    </a:xfrm>
                    <a:prstGeom prst="rect">
                      <a:avLst/>
                    </a:prstGeom>
                    <a:noFill/>
                    <a:ln>
                      <a:noFill/>
                    </a:ln>
                  </pic:spPr>
                </pic:pic>
              </a:graphicData>
            </a:graphic>
          </wp:inline>
        </w:drawing>
      </w:r>
    </w:p>
    <w:p w14:paraId="430295F0">
      <w:pPr>
        <w:spacing w:line="360" w:lineRule="auto"/>
        <w:ind w:firstLine="480" w:firstLineChars="200"/>
        <w:rPr>
          <w:rFonts w:ascii="宋体" w:hAnsi="宋体" w:eastAsia="宋体" w:cs="仿宋"/>
          <w:sz w:val="24"/>
        </w:rPr>
      </w:pPr>
      <w:r>
        <w:rPr>
          <w:rFonts w:hint="eastAsia" w:ascii="宋体" w:hAnsi="宋体" w:eastAsia="宋体" w:cs="仿宋"/>
          <w:sz w:val="24"/>
        </w:rPr>
        <w:t>在水源地取水口安装2套警戒球机和无线网关的设备，在水源地上游安装1套警戒球机和无线网关的设备。采用220V本地供电，</w:t>
      </w:r>
      <w:r>
        <w:rPr>
          <w:rFonts w:hint="eastAsia" w:ascii="宋体" w:hAnsi="宋体" w:eastAsia="宋体" w:cs="Arial"/>
          <w:kern w:val="21"/>
          <w:sz w:val="24"/>
        </w:rPr>
        <w:t>从大坝就近取电，根据取电位置到设备安装位置核算，</w:t>
      </w:r>
      <w:r>
        <w:rPr>
          <w:rFonts w:hint="eastAsia" w:ascii="宋体" w:hAnsi="宋体" w:eastAsia="宋体" w:cs="仿宋"/>
          <w:sz w:val="24"/>
        </w:rPr>
        <w:t>预计电源线和线管各需要700米。</w:t>
      </w:r>
    </w:p>
    <w:p w14:paraId="553EDFF8">
      <w:pPr>
        <w:spacing w:line="360" w:lineRule="auto"/>
        <w:ind w:firstLine="480" w:firstLineChars="200"/>
        <w:rPr>
          <w:rFonts w:hint="eastAsia" w:ascii="宋体" w:hAnsi="宋体" w:eastAsia="宋体" w:cs="仿宋"/>
          <w:sz w:val="24"/>
        </w:rPr>
      </w:pPr>
      <w:r>
        <w:rPr>
          <w:rFonts w:hint="eastAsia" w:ascii="宋体" w:hAnsi="宋体" w:eastAsia="宋体" w:cs="仿宋"/>
          <w:sz w:val="24"/>
        </w:rPr>
        <w:t>警戒球机设备现场安装位置图如下图所示：</w:t>
      </w:r>
    </w:p>
    <w:p w14:paraId="02A277BC">
      <w:pPr>
        <w:spacing w:line="360" w:lineRule="auto"/>
        <w:rPr>
          <w:rFonts w:hint="eastAsia" w:ascii="宋体" w:hAnsi="宋体" w:eastAsia="宋体" w:cs="仿宋"/>
          <w:b/>
          <w:bCs/>
          <w:sz w:val="24"/>
        </w:rPr>
      </w:pPr>
      <w:r>
        <w:drawing>
          <wp:inline distT="0" distB="0" distL="0" distR="0">
            <wp:extent cx="4984750" cy="3036570"/>
            <wp:effectExtent l="0" t="0" r="6350" b="0"/>
            <wp:docPr id="136511382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113824" name="图片 25"/>
                    <pic:cNvPicPr>
                      <a:picLocks noChangeAspect="1" noChangeArrowheads="1"/>
                    </pic:cNvPicPr>
                  </pic:nvPicPr>
                  <pic:blipFill>
                    <a:blip r:embed="rId40">
                      <a:extLst>
                        <a:ext uri="{28A0092B-C50C-407E-A947-70E740481C1C}">
                          <a14:useLocalDpi xmlns:a14="http://schemas.microsoft.com/office/drawing/2010/main" val="0"/>
                        </a:ext>
                      </a:extLst>
                    </a:blip>
                    <a:srcRect b="65732"/>
                    <a:stretch>
                      <a:fillRect/>
                    </a:stretch>
                  </pic:blipFill>
                  <pic:spPr>
                    <a:xfrm>
                      <a:off x="0" y="0"/>
                      <a:ext cx="4985385" cy="3037323"/>
                    </a:xfrm>
                    <a:prstGeom prst="rect">
                      <a:avLst/>
                    </a:prstGeom>
                    <a:noFill/>
                    <a:ln>
                      <a:noFill/>
                    </a:ln>
                  </pic:spPr>
                </pic:pic>
              </a:graphicData>
            </a:graphic>
          </wp:inline>
        </w:drawing>
      </w:r>
    </w:p>
    <w:p w14:paraId="5437CA3E">
      <w:pPr>
        <w:spacing w:line="360" w:lineRule="auto"/>
        <w:ind w:left="480"/>
        <w:rPr>
          <w:rFonts w:hint="eastAsia" w:ascii="宋体" w:hAnsi="宋体" w:eastAsia="宋体" w:cs="仿宋"/>
          <w:b/>
          <w:bCs/>
          <w:sz w:val="24"/>
        </w:rPr>
      </w:pPr>
    </w:p>
    <w:p w14:paraId="546CF381">
      <w:pPr>
        <w:pStyle w:val="44"/>
        <w:numPr>
          <w:ilvl w:val="0"/>
          <w:numId w:val="13"/>
        </w:numPr>
        <w:spacing w:line="360" w:lineRule="auto"/>
        <w:ind w:firstLineChars="0"/>
        <w:rPr>
          <w:rFonts w:ascii="宋体" w:hAnsi="宋体" w:eastAsia="宋体" w:cs="仿宋"/>
          <w:b/>
          <w:bCs/>
          <w:sz w:val="24"/>
        </w:rPr>
      </w:pPr>
      <w:r>
        <w:rPr>
          <w:rFonts w:hint="eastAsia" w:ascii="宋体" w:hAnsi="宋体" w:eastAsia="宋体" w:cs="仿宋"/>
          <w:b/>
          <w:bCs/>
          <w:sz w:val="24"/>
        </w:rPr>
        <w:t>湟中区上新庄镇小马鸡沟（华山）水源地</w:t>
      </w:r>
    </w:p>
    <w:p w14:paraId="090157B3">
      <w:pPr>
        <w:spacing w:line="360" w:lineRule="auto"/>
        <w:ind w:firstLine="480" w:firstLineChars="200"/>
        <w:rPr>
          <w:rFonts w:ascii="宋体" w:hAnsi="宋体" w:eastAsia="宋体" w:cs="仿宋"/>
          <w:sz w:val="24"/>
        </w:rPr>
      </w:pPr>
      <w:r>
        <w:rPr>
          <w:rFonts w:hint="eastAsia" w:ascii="宋体" w:hAnsi="宋体" w:eastAsia="宋体" w:cs="仿宋"/>
          <w:sz w:val="24"/>
        </w:rPr>
        <w:t>湟中区上新庄镇小马鸡沟（华山）水源地供水人口达</w:t>
      </w:r>
      <w:r>
        <w:rPr>
          <w:rFonts w:ascii="宋体" w:hAnsi="宋体" w:eastAsia="宋体" w:cs="仿宋"/>
          <w:sz w:val="24"/>
        </w:rPr>
        <w:t>5738</w:t>
      </w:r>
      <w:r>
        <w:rPr>
          <w:rFonts w:hint="eastAsia" w:ascii="宋体" w:hAnsi="宋体" w:eastAsia="宋体" w:cs="仿宋"/>
          <w:sz w:val="24"/>
        </w:rPr>
        <w:t>人，设计供水规模达</w:t>
      </w:r>
      <w:r>
        <w:rPr>
          <w:rFonts w:ascii="宋体" w:hAnsi="宋体" w:eastAsia="宋体" w:cs="仿宋"/>
          <w:sz w:val="24"/>
        </w:rPr>
        <w:t>1285.32</w:t>
      </w:r>
      <w:r>
        <w:rPr>
          <w:rFonts w:hint="eastAsia" w:ascii="宋体" w:hAnsi="宋体" w:eastAsia="宋体" w:cs="仿宋"/>
          <w:sz w:val="24"/>
        </w:rPr>
        <w:t>m</w:t>
      </w:r>
      <w:r>
        <w:rPr>
          <w:rFonts w:hint="eastAsia" w:ascii="宋体" w:hAnsi="宋体" w:eastAsia="宋体" w:cs="仿宋"/>
          <w:sz w:val="24"/>
          <w:vertAlign w:val="superscript"/>
        </w:rPr>
        <w:t>3</w:t>
      </w:r>
      <w:r>
        <w:rPr>
          <w:rFonts w:hint="eastAsia" w:ascii="宋体" w:hAnsi="宋体" w:eastAsia="宋体" w:cs="仿宋"/>
          <w:sz w:val="24"/>
        </w:rPr>
        <w:t>/d。</w:t>
      </w:r>
    </w:p>
    <w:p w14:paraId="138E1C7C">
      <w:pPr>
        <w:spacing w:line="360" w:lineRule="auto"/>
        <w:ind w:firstLine="480" w:firstLineChars="200"/>
        <w:rPr>
          <w:rFonts w:ascii="宋体" w:hAnsi="宋体" w:eastAsia="宋体" w:cs="Arial"/>
          <w:kern w:val="21"/>
          <w:sz w:val="24"/>
        </w:rPr>
      </w:pPr>
      <w:r>
        <w:rPr>
          <w:rFonts w:hint="eastAsia" w:ascii="宋体" w:hAnsi="宋体" w:eastAsia="宋体" w:cs="仿宋"/>
          <w:sz w:val="24"/>
        </w:rPr>
        <w:t>在水源地沉淀池进水口安装1套</w:t>
      </w:r>
      <w:r>
        <w:rPr>
          <w:rFonts w:hint="eastAsia" w:ascii="宋体" w:hAnsi="宋体" w:eastAsia="宋体" w:cs="Arial"/>
          <w:kern w:val="21"/>
          <w:sz w:val="24"/>
        </w:rPr>
        <w:t>浑浊度光电自动监测设备和数据采集传输装置的水质在线监测设备，</w:t>
      </w:r>
      <w:r>
        <w:rPr>
          <w:rFonts w:hint="eastAsia" w:ascii="宋体" w:hAnsi="宋体" w:eastAsia="宋体" w:cs="仿宋"/>
          <w:sz w:val="24"/>
        </w:rPr>
        <w:t>安装1套</w:t>
      </w:r>
      <w:r>
        <w:rPr>
          <w:rFonts w:hint="eastAsia" w:ascii="宋体" w:hAnsi="宋体" w:eastAsia="宋体" w:cs="Arial"/>
          <w:kern w:val="21"/>
          <w:sz w:val="24"/>
        </w:rPr>
        <w:t>视频监控摄像头、视频联动算法装置和无线网关的视频联动报警设备。采用220V本地供电，从设备房取电，根据取电位置到设备安装位置核算，预计电源线和线管各需要300米。</w:t>
      </w:r>
    </w:p>
    <w:p w14:paraId="1360324B">
      <w:pPr>
        <w:spacing w:line="360" w:lineRule="auto"/>
        <w:ind w:firstLine="480" w:firstLineChars="200"/>
        <w:rPr>
          <w:rFonts w:hint="eastAsia" w:ascii="宋体" w:hAnsi="宋体" w:eastAsia="宋体" w:cs="仿宋"/>
          <w:sz w:val="24"/>
        </w:rPr>
      </w:pPr>
      <w:r>
        <w:rPr>
          <w:rFonts w:hint="eastAsia" w:ascii="宋体" w:hAnsi="宋体" w:eastAsia="宋体" w:cs="仿宋"/>
          <w:sz w:val="24"/>
        </w:rPr>
        <w:t>设备现场安装位置图如下图所示：</w:t>
      </w:r>
    </w:p>
    <w:p w14:paraId="61026A3A">
      <w:pPr>
        <w:spacing w:line="360" w:lineRule="auto"/>
        <w:rPr>
          <w:rFonts w:hint="eastAsia" w:ascii="宋体" w:hAnsi="宋体" w:eastAsia="宋体" w:cs="仿宋"/>
          <w:b/>
          <w:bCs/>
          <w:sz w:val="24"/>
        </w:rPr>
      </w:pPr>
      <w:r>
        <w:drawing>
          <wp:inline distT="0" distB="0" distL="0" distR="0">
            <wp:extent cx="5270500" cy="2964815"/>
            <wp:effectExtent l="0" t="0" r="6350" b="6985"/>
            <wp:docPr id="32500493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004938" name="图片 2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5270500" cy="2964815"/>
                    </a:xfrm>
                    <a:prstGeom prst="rect">
                      <a:avLst/>
                    </a:prstGeom>
                    <a:noFill/>
                    <a:ln>
                      <a:noFill/>
                    </a:ln>
                  </pic:spPr>
                </pic:pic>
              </a:graphicData>
            </a:graphic>
          </wp:inline>
        </w:drawing>
      </w:r>
    </w:p>
    <w:p w14:paraId="58FF5257">
      <w:pPr>
        <w:pStyle w:val="44"/>
        <w:numPr>
          <w:ilvl w:val="0"/>
          <w:numId w:val="13"/>
        </w:numPr>
        <w:spacing w:line="360" w:lineRule="auto"/>
        <w:ind w:firstLineChars="0"/>
        <w:rPr>
          <w:rFonts w:ascii="宋体" w:hAnsi="宋体" w:eastAsia="宋体" w:cs="仿宋"/>
          <w:b/>
          <w:bCs/>
          <w:sz w:val="24"/>
        </w:rPr>
      </w:pPr>
      <w:r>
        <w:rPr>
          <w:rFonts w:hint="eastAsia" w:ascii="宋体" w:hAnsi="宋体" w:eastAsia="宋体" w:cs="仿宋"/>
          <w:b/>
          <w:bCs/>
          <w:sz w:val="24"/>
        </w:rPr>
        <w:t>湟中区上新庄镇加牙水源地</w:t>
      </w:r>
    </w:p>
    <w:p w14:paraId="15557A4B">
      <w:pPr>
        <w:spacing w:line="360" w:lineRule="auto"/>
        <w:ind w:firstLine="480" w:firstLineChars="200"/>
        <w:rPr>
          <w:rFonts w:ascii="宋体" w:hAnsi="宋体" w:eastAsia="宋体" w:cs="仿宋"/>
          <w:sz w:val="24"/>
        </w:rPr>
      </w:pPr>
      <w:r>
        <w:rPr>
          <w:rFonts w:hint="eastAsia" w:ascii="宋体" w:hAnsi="宋体" w:eastAsia="宋体" w:cs="仿宋"/>
          <w:sz w:val="24"/>
        </w:rPr>
        <w:t>湟中区上新庄镇加牙水源地供水人口达</w:t>
      </w:r>
      <w:r>
        <w:rPr>
          <w:rFonts w:ascii="宋体" w:hAnsi="宋体" w:eastAsia="宋体" w:cs="仿宋"/>
          <w:sz w:val="24"/>
        </w:rPr>
        <w:t>7278</w:t>
      </w:r>
      <w:r>
        <w:rPr>
          <w:rFonts w:hint="eastAsia" w:ascii="宋体" w:hAnsi="宋体" w:eastAsia="宋体" w:cs="仿宋"/>
          <w:sz w:val="24"/>
        </w:rPr>
        <w:t>人，设计供水规模达</w:t>
      </w:r>
      <w:r>
        <w:rPr>
          <w:rFonts w:ascii="宋体" w:hAnsi="宋体" w:eastAsia="宋体" w:cs="仿宋"/>
          <w:sz w:val="24"/>
        </w:rPr>
        <w:t>668.32</w:t>
      </w:r>
      <w:r>
        <w:rPr>
          <w:rFonts w:hint="eastAsia" w:ascii="宋体" w:hAnsi="宋体" w:eastAsia="宋体" w:cs="仿宋"/>
          <w:sz w:val="24"/>
        </w:rPr>
        <w:t>m</w:t>
      </w:r>
      <w:r>
        <w:rPr>
          <w:rFonts w:hint="eastAsia" w:ascii="宋体" w:hAnsi="宋体" w:eastAsia="宋体" w:cs="仿宋"/>
          <w:sz w:val="24"/>
          <w:vertAlign w:val="superscript"/>
        </w:rPr>
        <w:t>3</w:t>
      </w:r>
      <w:r>
        <w:rPr>
          <w:rFonts w:hint="eastAsia" w:ascii="宋体" w:hAnsi="宋体" w:eastAsia="宋体" w:cs="仿宋"/>
          <w:sz w:val="24"/>
        </w:rPr>
        <w:t>/d。</w:t>
      </w:r>
    </w:p>
    <w:p w14:paraId="0B4149D8">
      <w:pPr>
        <w:spacing w:line="360" w:lineRule="auto"/>
        <w:ind w:firstLine="480" w:firstLineChars="200"/>
        <w:rPr>
          <w:rFonts w:ascii="宋体" w:hAnsi="宋体" w:eastAsia="宋体" w:cs="Arial"/>
          <w:kern w:val="21"/>
          <w:sz w:val="24"/>
        </w:rPr>
      </w:pPr>
      <w:r>
        <w:rPr>
          <w:rFonts w:hint="eastAsia" w:ascii="宋体" w:hAnsi="宋体" w:eastAsia="宋体" w:cs="仿宋"/>
          <w:sz w:val="24"/>
        </w:rPr>
        <w:t>在廊道汇水口处安装1套</w:t>
      </w:r>
      <w:r>
        <w:rPr>
          <w:rFonts w:hint="eastAsia" w:ascii="宋体" w:hAnsi="宋体" w:eastAsia="宋体" w:cs="Arial"/>
          <w:kern w:val="21"/>
          <w:sz w:val="24"/>
        </w:rPr>
        <w:t>浑浊度光电自动监测设备和数据采集传输装置的水质在线监测设备，</w:t>
      </w:r>
      <w:r>
        <w:rPr>
          <w:rFonts w:hint="eastAsia" w:ascii="宋体" w:hAnsi="宋体" w:eastAsia="宋体" w:cs="仿宋"/>
          <w:sz w:val="24"/>
        </w:rPr>
        <w:t>安装1套</w:t>
      </w:r>
      <w:r>
        <w:rPr>
          <w:rFonts w:hint="eastAsia" w:ascii="宋体" w:hAnsi="宋体" w:eastAsia="宋体" w:cs="Arial"/>
          <w:kern w:val="21"/>
          <w:sz w:val="24"/>
        </w:rPr>
        <w:t>视频监控摄像头、视频联动算法装置和无线网关的视频联动报警设备。采用220V本地供电，从设备房取电，根据取电位置到设备安装位置核算，预计电源线和线管各400米。</w:t>
      </w:r>
    </w:p>
    <w:p w14:paraId="62BA9897">
      <w:pPr>
        <w:spacing w:line="360" w:lineRule="auto"/>
        <w:ind w:firstLine="480" w:firstLineChars="200"/>
        <w:rPr>
          <w:rFonts w:hint="eastAsia" w:ascii="宋体" w:hAnsi="宋体" w:eastAsia="宋体" w:cs="仿宋"/>
          <w:sz w:val="24"/>
        </w:rPr>
      </w:pPr>
      <w:r>
        <w:rPr>
          <w:rFonts w:hint="eastAsia" w:ascii="宋体" w:hAnsi="宋体" w:eastAsia="宋体" w:cs="仿宋"/>
          <w:sz w:val="24"/>
        </w:rPr>
        <w:t>设备现场安装位置图如下图所示：</w:t>
      </w:r>
    </w:p>
    <w:p w14:paraId="2B7CD0BE">
      <w:pPr>
        <w:spacing w:line="360" w:lineRule="auto"/>
        <w:jc w:val="center"/>
        <w:rPr>
          <w:rFonts w:hint="eastAsia" w:ascii="宋体" w:hAnsi="宋体" w:eastAsia="宋体" w:cs="仿宋"/>
          <w:b/>
          <w:bCs/>
          <w:sz w:val="24"/>
        </w:rPr>
      </w:pPr>
      <w:r>
        <w:drawing>
          <wp:inline distT="0" distB="0" distL="0" distR="0">
            <wp:extent cx="2386965" cy="3959860"/>
            <wp:effectExtent l="0" t="0" r="0" b="2540"/>
            <wp:docPr id="46478000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780009" name="图片 27"/>
                    <pic:cNvPicPr>
                      <a:picLocks noChangeAspect="1" noChangeArrowheads="1"/>
                    </pic:cNvPicPr>
                  </pic:nvPicPr>
                  <pic:blipFill>
                    <a:blip r:embed="rId42" cstate="print">
                      <a:extLst>
                        <a:ext uri="{28A0092B-C50C-407E-A947-70E740481C1C}">
                          <a14:useLocalDpi xmlns:a14="http://schemas.microsoft.com/office/drawing/2010/main" val="0"/>
                        </a:ext>
                      </a:extLst>
                    </a:blip>
                    <a:srcRect l="18778" b="24213"/>
                    <a:stretch>
                      <a:fillRect/>
                    </a:stretch>
                  </pic:blipFill>
                  <pic:spPr>
                    <a:xfrm>
                      <a:off x="0" y="0"/>
                      <a:ext cx="2387125" cy="3960000"/>
                    </a:xfrm>
                    <a:prstGeom prst="rect">
                      <a:avLst/>
                    </a:prstGeom>
                    <a:noFill/>
                    <a:ln>
                      <a:noFill/>
                    </a:ln>
                  </pic:spPr>
                </pic:pic>
              </a:graphicData>
            </a:graphic>
          </wp:inline>
        </w:drawing>
      </w:r>
    </w:p>
    <w:p w14:paraId="0D83D37F">
      <w:pPr>
        <w:spacing w:line="360" w:lineRule="auto"/>
        <w:ind w:firstLine="480" w:firstLineChars="200"/>
        <w:rPr>
          <w:rFonts w:ascii="宋体" w:hAnsi="宋体" w:eastAsia="宋体" w:cs="仿宋"/>
          <w:sz w:val="24"/>
        </w:rPr>
      </w:pPr>
      <w:r>
        <w:rPr>
          <w:rFonts w:hint="eastAsia" w:ascii="宋体" w:hAnsi="宋体" w:eastAsia="宋体" w:cs="仿宋"/>
          <w:sz w:val="24"/>
        </w:rPr>
        <w:t>综上所述，各水源地设备安装数量和安装位置如下表所示：</w:t>
      </w:r>
    </w:p>
    <w:tbl>
      <w:tblPr>
        <w:tblStyle w:val="36"/>
        <w:tblW w:w="8789" w:type="dxa"/>
        <w:tblInd w:w="-176" w:type="dxa"/>
        <w:tblLayout w:type="autofit"/>
        <w:tblCellMar>
          <w:top w:w="0" w:type="dxa"/>
          <w:left w:w="108" w:type="dxa"/>
          <w:bottom w:w="0" w:type="dxa"/>
          <w:right w:w="108" w:type="dxa"/>
        </w:tblCellMar>
      </w:tblPr>
      <w:tblGrid>
        <w:gridCol w:w="426"/>
        <w:gridCol w:w="1107"/>
        <w:gridCol w:w="700"/>
        <w:gridCol w:w="992"/>
        <w:gridCol w:w="702"/>
        <w:gridCol w:w="851"/>
        <w:gridCol w:w="819"/>
        <w:gridCol w:w="821"/>
        <w:gridCol w:w="702"/>
        <w:gridCol w:w="850"/>
        <w:gridCol w:w="819"/>
      </w:tblGrid>
      <w:tr w14:paraId="59CC04C2">
        <w:tblPrEx>
          <w:tblCellMar>
            <w:top w:w="0" w:type="dxa"/>
            <w:left w:w="108" w:type="dxa"/>
            <w:bottom w:w="0" w:type="dxa"/>
            <w:right w:w="108" w:type="dxa"/>
          </w:tblCellMar>
        </w:tblPrEx>
        <w:trPr>
          <w:trHeight w:val="575" w:hRule="atLeast"/>
        </w:trPr>
        <w:tc>
          <w:tcPr>
            <w:tcW w:w="8789" w:type="dxa"/>
            <w:gridSpan w:val="11"/>
            <w:tcBorders>
              <w:top w:val="single" w:color="auto" w:sz="4" w:space="0"/>
              <w:left w:val="single" w:color="auto" w:sz="4" w:space="0"/>
              <w:bottom w:val="single" w:color="auto" w:sz="4" w:space="0"/>
              <w:right w:val="single" w:color="auto" w:sz="4" w:space="0"/>
            </w:tcBorders>
            <w:shd w:val="clear" w:color="auto" w:fill="auto"/>
            <w:noWrap/>
            <w:vAlign w:val="center"/>
          </w:tcPr>
          <w:p w14:paraId="067F3976">
            <w:pPr>
              <w:widowControl/>
              <w:jc w:val="center"/>
              <w:rPr>
                <w:rFonts w:ascii="宋体" w:hAnsi="宋体" w:eastAsia="宋体" w:cs="Arial"/>
                <w:b/>
                <w:bCs/>
                <w:color w:val="000000"/>
                <w:kern w:val="0"/>
                <w:sz w:val="22"/>
                <w:szCs w:val="22"/>
              </w:rPr>
            </w:pPr>
            <w:r>
              <w:rPr>
                <w:rFonts w:hint="eastAsia" w:ascii="宋体" w:hAnsi="宋体" w:eastAsia="宋体" w:cs="Arial"/>
                <w:b/>
                <w:bCs/>
                <w:color w:val="000000"/>
                <w:kern w:val="0"/>
                <w:sz w:val="22"/>
                <w:szCs w:val="22"/>
              </w:rPr>
              <w:t>湟中区水源地设备安装点位及供配电建设统计表</w:t>
            </w:r>
          </w:p>
        </w:tc>
      </w:tr>
      <w:tr w14:paraId="06C7A60C">
        <w:tblPrEx>
          <w:tblCellMar>
            <w:top w:w="0" w:type="dxa"/>
            <w:left w:w="108" w:type="dxa"/>
            <w:bottom w:w="0" w:type="dxa"/>
            <w:right w:w="108" w:type="dxa"/>
          </w:tblCellMar>
        </w:tblPrEx>
        <w:trPr>
          <w:trHeight w:val="652" w:hRule="atLeast"/>
        </w:trPr>
        <w:tc>
          <w:tcPr>
            <w:tcW w:w="426" w:type="dxa"/>
            <w:vMerge w:val="restart"/>
            <w:tcBorders>
              <w:top w:val="nil"/>
              <w:left w:val="single" w:color="auto" w:sz="4" w:space="0"/>
              <w:bottom w:val="single" w:color="auto" w:sz="4" w:space="0"/>
              <w:right w:val="single" w:color="auto" w:sz="4" w:space="0"/>
            </w:tcBorders>
            <w:shd w:val="clear" w:color="auto" w:fill="auto"/>
            <w:vAlign w:val="center"/>
          </w:tcPr>
          <w:p w14:paraId="02DF7CB8">
            <w:pPr>
              <w:widowControl/>
              <w:jc w:val="center"/>
              <w:rPr>
                <w:rFonts w:hint="eastAsia" w:ascii="宋体" w:hAnsi="宋体" w:eastAsia="宋体" w:cs="Arial"/>
                <w:b/>
                <w:bCs/>
                <w:color w:val="000000"/>
                <w:kern w:val="0"/>
                <w:sz w:val="20"/>
                <w:szCs w:val="20"/>
              </w:rPr>
            </w:pPr>
            <w:r>
              <w:rPr>
                <w:rFonts w:hint="eastAsia" w:ascii="宋体" w:hAnsi="宋体" w:eastAsia="宋体" w:cs="Arial"/>
                <w:b/>
                <w:bCs/>
                <w:color w:val="000000"/>
                <w:kern w:val="0"/>
                <w:sz w:val="20"/>
                <w:szCs w:val="20"/>
              </w:rPr>
              <w:t>序号</w:t>
            </w:r>
          </w:p>
        </w:tc>
        <w:tc>
          <w:tcPr>
            <w:tcW w:w="1336" w:type="dxa"/>
            <w:vMerge w:val="restart"/>
            <w:tcBorders>
              <w:top w:val="nil"/>
              <w:left w:val="single" w:color="auto" w:sz="4" w:space="0"/>
              <w:bottom w:val="single" w:color="auto" w:sz="4" w:space="0"/>
              <w:right w:val="single" w:color="auto" w:sz="4" w:space="0"/>
            </w:tcBorders>
            <w:shd w:val="clear" w:color="auto" w:fill="auto"/>
            <w:vAlign w:val="center"/>
          </w:tcPr>
          <w:p w14:paraId="52C04415">
            <w:pPr>
              <w:widowControl/>
              <w:jc w:val="center"/>
              <w:rPr>
                <w:rFonts w:hint="eastAsia" w:ascii="宋体" w:hAnsi="宋体" w:eastAsia="宋体" w:cs="Arial"/>
                <w:b/>
                <w:bCs/>
                <w:color w:val="000000"/>
                <w:kern w:val="0"/>
                <w:sz w:val="20"/>
                <w:szCs w:val="20"/>
              </w:rPr>
            </w:pPr>
            <w:r>
              <w:rPr>
                <w:rFonts w:hint="eastAsia" w:ascii="宋体" w:hAnsi="宋体" w:eastAsia="宋体" w:cs="Arial"/>
                <w:b/>
                <w:bCs/>
                <w:color w:val="000000"/>
                <w:kern w:val="0"/>
                <w:sz w:val="20"/>
                <w:szCs w:val="20"/>
              </w:rPr>
              <w:t>水源地名称</w:t>
            </w:r>
          </w:p>
        </w:tc>
        <w:tc>
          <w:tcPr>
            <w:tcW w:w="709" w:type="dxa"/>
            <w:vMerge w:val="restart"/>
            <w:tcBorders>
              <w:top w:val="nil"/>
              <w:left w:val="single" w:color="auto" w:sz="4" w:space="0"/>
              <w:bottom w:val="single" w:color="auto" w:sz="4" w:space="0"/>
              <w:right w:val="single" w:color="auto" w:sz="4" w:space="0"/>
            </w:tcBorders>
            <w:shd w:val="clear" w:color="auto" w:fill="auto"/>
            <w:vAlign w:val="center"/>
          </w:tcPr>
          <w:p w14:paraId="3500BE09">
            <w:pPr>
              <w:widowControl/>
              <w:jc w:val="center"/>
              <w:rPr>
                <w:rFonts w:hint="eastAsia" w:ascii="宋体" w:hAnsi="宋体" w:eastAsia="宋体" w:cs="Arial"/>
                <w:b/>
                <w:bCs/>
                <w:color w:val="000000"/>
                <w:kern w:val="0"/>
                <w:sz w:val="20"/>
                <w:szCs w:val="20"/>
              </w:rPr>
            </w:pPr>
            <w:r>
              <w:rPr>
                <w:rFonts w:hint="eastAsia" w:ascii="宋体" w:hAnsi="宋体" w:eastAsia="宋体" w:cs="Arial"/>
                <w:b/>
                <w:bCs/>
                <w:color w:val="000000"/>
                <w:kern w:val="0"/>
                <w:sz w:val="20"/>
                <w:szCs w:val="20"/>
              </w:rPr>
              <w:t>取电位置</w:t>
            </w:r>
          </w:p>
        </w:tc>
        <w:tc>
          <w:tcPr>
            <w:tcW w:w="3371" w:type="dxa"/>
            <w:gridSpan w:val="4"/>
            <w:tcBorders>
              <w:top w:val="single" w:color="auto" w:sz="4" w:space="0"/>
              <w:left w:val="nil"/>
              <w:bottom w:val="single" w:color="auto" w:sz="4" w:space="0"/>
              <w:right w:val="single" w:color="auto" w:sz="4" w:space="0"/>
            </w:tcBorders>
            <w:shd w:val="clear" w:color="auto" w:fill="auto"/>
            <w:vAlign w:val="center"/>
          </w:tcPr>
          <w:p w14:paraId="78873908">
            <w:pPr>
              <w:widowControl/>
              <w:jc w:val="center"/>
              <w:rPr>
                <w:rFonts w:hint="eastAsia" w:ascii="宋体" w:hAnsi="宋体" w:eastAsia="宋体" w:cs="Arial"/>
                <w:b/>
                <w:bCs/>
                <w:color w:val="000000"/>
                <w:kern w:val="0"/>
                <w:sz w:val="20"/>
                <w:szCs w:val="20"/>
              </w:rPr>
            </w:pPr>
            <w:r>
              <w:rPr>
                <w:rFonts w:hint="eastAsia" w:ascii="宋体" w:hAnsi="宋体" w:eastAsia="宋体" w:cs="Arial"/>
                <w:b/>
                <w:bCs/>
                <w:color w:val="000000"/>
                <w:kern w:val="0"/>
                <w:sz w:val="20"/>
                <w:szCs w:val="20"/>
              </w:rPr>
              <w:t>水质在线监测及视频联动报警建设设备</w:t>
            </w:r>
          </w:p>
        </w:tc>
        <w:tc>
          <w:tcPr>
            <w:tcW w:w="2947" w:type="dxa"/>
            <w:gridSpan w:val="4"/>
            <w:tcBorders>
              <w:top w:val="single" w:color="auto" w:sz="4" w:space="0"/>
              <w:left w:val="nil"/>
              <w:bottom w:val="single" w:color="auto" w:sz="4" w:space="0"/>
              <w:right w:val="single" w:color="auto" w:sz="4" w:space="0"/>
            </w:tcBorders>
            <w:shd w:val="clear" w:color="auto" w:fill="auto"/>
            <w:vAlign w:val="center"/>
          </w:tcPr>
          <w:p w14:paraId="76A3D8F8">
            <w:pPr>
              <w:widowControl/>
              <w:jc w:val="center"/>
              <w:rPr>
                <w:rFonts w:hint="eastAsia" w:ascii="宋体" w:hAnsi="宋体" w:eastAsia="宋体" w:cs="Arial"/>
                <w:b/>
                <w:bCs/>
                <w:color w:val="000000"/>
                <w:kern w:val="0"/>
                <w:sz w:val="20"/>
                <w:szCs w:val="20"/>
              </w:rPr>
            </w:pPr>
            <w:r>
              <w:rPr>
                <w:rFonts w:hint="eastAsia" w:ascii="宋体" w:hAnsi="宋体" w:eastAsia="宋体" w:cs="Arial"/>
                <w:b/>
                <w:bCs/>
                <w:color w:val="000000"/>
                <w:kern w:val="0"/>
                <w:sz w:val="20"/>
                <w:szCs w:val="20"/>
              </w:rPr>
              <w:t>水源地视频监控及算法自动报警建设设备</w:t>
            </w:r>
          </w:p>
        </w:tc>
      </w:tr>
      <w:tr w14:paraId="31843EBF">
        <w:tblPrEx>
          <w:tblCellMar>
            <w:top w:w="0" w:type="dxa"/>
            <w:left w:w="108" w:type="dxa"/>
            <w:bottom w:w="0" w:type="dxa"/>
            <w:right w:w="108" w:type="dxa"/>
          </w:tblCellMar>
        </w:tblPrEx>
        <w:trPr>
          <w:trHeight w:val="609" w:hRule="atLeast"/>
        </w:trPr>
        <w:tc>
          <w:tcPr>
            <w:tcW w:w="426" w:type="dxa"/>
            <w:vMerge w:val="continue"/>
            <w:tcBorders>
              <w:top w:val="nil"/>
              <w:left w:val="single" w:color="auto" w:sz="4" w:space="0"/>
              <w:bottom w:val="single" w:color="auto" w:sz="4" w:space="0"/>
              <w:right w:val="single" w:color="auto" w:sz="4" w:space="0"/>
            </w:tcBorders>
            <w:vAlign w:val="center"/>
          </w:tcPr>
          <w:p w14:paraId="3439C8E4">
            <w:pPr>
              <w:widowControl/>
              <w:jc w:val="left"/>
              <w:rPr>
                <w:rFonts w:ascii="宋体" w:hAnsi="宋体" w:eastAsia="宋体" w:cs="Arial"/>
                <w:b/>
                <w:bCs/>
                <w:color w:val="000000"/>
                <w:kern w:val="0"/>
                <w:sz w:val="20"/>
                <w:szCs w:val="20"/>
              </w:rPr>
            </w:pPr>
          </w:p>
        </w:tc>
        <w:tc>
          <w:tcPr>
            <w:tcW w:w="1336" w:type="dxa"/>
            <w:vMerge w:val="continue"/>
            <w:tcBorders>
              <w:top w:val="nil"/>
              <w:left w:val="single" w:color="auto" w:sz="4" w:space="0"/>
              <w:bottom w:val="single" w:color="auto" w:sz="4" w:space="0"/>
              <w:right w:val="single" w:color="auto" w:sz="4" w:space="0"/>
            </w:tcBorders>
            <w:vAlign w:val="center"/>
          </w:tcPr>
          <w:p w14:paraId="27DCA4F4">
            <w:pPr>
              <w:widowControl/>
              <w:jc w:val="left"/>
              <w:rPr>
                <w:rFonts w:ascii="宋体" w:hAnsi="宋体" w:eastAsia="宋体" w:cs="Arial"/>
                <w:b/>
                <w:bCs/>
                <w:color w:val="000000"/>
                <w:kern w:val="0"/>
                <w:sz w:val="20"/>
                <w:szCs w:val="20"/>
              </w:rPr>
            </w:pPr>
          </w:p>
        </w:tc>
        <w:tc>
          <w:tcPr>
            <w:tcW w:w="709" w:type="dxa"/>
            <w:vMerge w:val="continue"/>
            <w:tcBorders>
              <w:top w:val="nil"/>
              <w:left w:val="single" w:color="auto" w:sz="4" w:space="0"/>
              <w:bottom w:val="single" w:color="auto" w:sz="4" w:space="0"/>
              <w:right w:val="single" w:color="auto" w:sz="4" w:space="0"/>
            </w:tcBorders>
            <w:vAlign w:val="center"/>
          </w:tcPr>
          <w:p w14:paraId="56B0DB1D">
            <w:pPr>
              <w:widowControl/>
              <w:jc w:val="left"/>
              <w:rPr>
                <w:rFonts w:ascii="宋体" w:hAnsi="宋体" w:eastAsia="宋体" w:cs="Arial"/>
                <w:b/>
                <w:bCs/>
                <w:color w:val="000000"/>
                <w:kern w:val="0"/>
                <w:sz w:val="20"/>
                <w:szCs w:val="20"/>
              </w:rPr>
            </w:pPr>
          </w:p>
        </w:tc>
        <w:tc>
          <w:tcPr>
            <w:tcW w:w="992" w:type="dxa"/>
            <w:tcBorders>
              <w:top w:val="nil"/>
              <w:left w:val="nil"/>
              <w:bottom w:val="single" w:color="auto" w:sz="4" w:space="0"/>
              <w:right w:val="single" w:color="auto" w:sz="4" w:space="0"/>
            </w:tcBorders>
            <w:shd w:val="clear" w:color="auto" w:fill="auto"/>
            <w:vAlign w:val="center"/>
          </w:tcPr>
          <w:p w14:paraId="59D2C365">
            <w:pPr>
              <w:widowControl/>
              <w:jc w:val="center"/>
              <w:rPr>
                <w:rFonts w:hint="eastAsia" w:ascii="宋体" w:hAnsi="宋体" w:eastAsia="宋体" w:cs="Arial"/>
                <w:b/>
                <w:bCs/>
                <w:color w:val="000000"/>
                <w:kern w:val="0"/>
                <w:sz w:val="20"/>
                <w:szCs w:val="20"/>
              </w:rPr>
            </w:pPr>
            <w:r>
              <w:rPr>
                <w:rFonts w:hint="eastAsia" w:ascii="宋体" w:hAnsi="宋体" w:eastAsia="宋体" w:cs="Arial"/>
                <w:b/>
                <w:bCs/>
                <w:color w:val="000000"/>
                <w:kern w:val="0"/>
                <w:sz w:val="20"/>
                <w:szCs w:val="20"/>
              </w:rPr>
              <w:t>安装位置</w:t>
            </w:r>
          </w:p>
        </w:tc>
        <w:tc>
          <w:tcPr>
            <w:tcW w:w="709" w:type="dxa"/>
            <w:tcBorders>
              <w:top w:val="nil"/>
              <w:left w:val="nil"/>
              <w:bottom w:val="single" w:color="auto" w:sz="4" w:space="0"/>
              <w:right w:val="single" w:color="auto" w:sz="4" w:space="0"/>
            </w:tcBorders>
            <w:shd w:val="clear" w:color="auto" w:fill="auto"/>
            <w:vAlign w:val="center"/>
          </w:tcPr>
          <w:p w14:paraId="059EEE0F">
            <w:pPr>
              <w:widowControl/>
              <w:jc w:val="center"/>
              <w:rPr>
                <w:rFonts w:hint="eastAsia" w:ascii="宋体" w:hAnsi="宋体" w:eastAsia="宋体" w:cs="Arial"/>
                <w:b/>
                <w:bCs/>
                <w:color w:val="000000"/>
                <w:kern w:val="0"/>
                <w:sz w:val="20"/>
                <w:szCs w:val="20"/>
              </w:rPr>
            </w:pPr>
            <w:r>
              <w:rPr>
                <w:rFonts w:hint="eastAsia" w:ascii="宋体" w:hAnsi="宋体" w:eastAsia="宋体" w:cs="Arial"/>
                <w:b/>
                <w:bCs/>
                <w:color w:val="000000"/>
                <w:kern w:val="0"/>
                <w:sz w:val="20"/>
                <w:szCs w:val="20"/>
              </w:rPr>
              <w:t>安装数量</w:t>
            </w:r>
          </w:p>
        </w:tc>
        <w:tc>
          <w:tcPr>
            <w:tcW w:w="851" w:type="dxa"/>
            <w:tcBorders>
              <w:top w:val="nil"/>
              <w:left w:val="nil"/>
              <w:bottom w:val="single" w:color="auto" w:sz="4" w:space="0"/>
              <w:right w:val="single" w:color="auto" w:sz="4" w:space="0"/>
            </w:tcBorders>
            <w:shd w:val="clear" w:color="auto" w:fill="auto"/>
            <w:vAlign w:val="center"/>
          </w:tcPr>
          <w:p w14:paraId="3D1F6C4C">
            <w:pPr>
              <w:widowControl/>
              <w:jc w:val="center"/>
              <w:rPr>
                <w:rFonts w:hint="eastAsia" w:ascii="宋体" w:hAnsi="宋体" w:eastAsia="宋体" w:cs="Arial"/>
                <w:b/>
                <w:bCs/>
                <w:color w:val="000000"/>
                <w:kern w:val="0"/>
                <w:sz w:val="20"/>
                <w:szCs w:val="20"/>
              </w:rPr>
            </w:pPr>
            <w:r>
              <w:rPr>
                <w:rFonts w:hint="eastAsia" w:ascii="宋体" w:hAnsi="宋体" w:eastAsia="宋体" w:cs="Arial"/>
                <w:b/>
                <w:bCs/>
                <w:color w:val="000000"/>
                <w:kern w:val="0"/>
                <w:sz w:val="20"/>
                <w:szCs w:val="20"/>
              </w:rPr>
              <w:t>供配电建设</w:t>
            </w:r>
          </w:p>
        </w:tc>
        <w:tc>
          <w:tcPr>
            <w:tcW w:w="819" w:type="dxa"/>
            <w:tcBorders>
              <w:top w:val="nil"/>
              <w:left w:val="nil"/>
              <w:bottom w:val="single" w:color="auto" w:sz="4" w:space="0"/>
              <w:right w:val="single" w:color="auto" w:sz="4" w:space="0"/>
            </w:tcBorders>
            <w:shd w:val="clear" w:color="auto" w:fill="auto"/>
            <w:vAlign w:val="center"/>
          </w:tcPr>
          <w:p w14:paraId="798A77F2">
            <w:pPr>
              <w:widowControl/>
              <w:jc w:val="center"/>
              <w:rPr>
                <w:rFonts w:hint="eastAsia" w:ascii="宋体" w:hAnsi="宋体" w:eastAsia="宋体" w:cs="Arial"/>
                <w:b/>
                <w:bCs/>
                <w:color w:val="000000"/>
                <w:kern w:val="0"/>
                <w:sz w:val="20"/>
                <w:szCs w:val="20"/>
              </w:rPr>
            </w:pPr>
            <w:r>
              <w:rPr>
                <w:rFonts w:hint="eastAsia" w:ascii="宋体" w:hAnsi="宋体" w:eastAsia="宋体" w:cs="Arial"/>
                <w:b/>
                <w:bCs/>
                <w:color w:val="000000"/>
                <w:kern w:val="0"/>
                <w:sz w:val="20"/>
                <w:szCs w:val="20"/>
              </w:rPr>
              <w:t>电源线/线管各（米）</w:t>
            </w:r>
          </w:p>
        </w:tc>
        <w:tc>
          <w:tcPr>
            <w:tcW w:w="821" w:type="dxa"/>
            <w:tcBorders>
              <w:top w:val="nil"/>
              <w:left w:val="nil"/>
              <w:bottom w:val="single" w:color="auto" w:sz="4" w:space="0"/>
              <w:right w:val="single" w:color="auto" w:sz="4" w:space="0"/>
            </w:tcBorders>
            <w:shd w:val="clear" w:color="auto" w:fill="auto"/>
            <w:vAlign w:val="center"/>
          </w:tcPr>
          <w:p w14:paraId="50288509">
            <w:pPr>
              <w:widowControl/>
              <w:jc w:val="center"/>
              <w:rPr>
                <w:rFonts w:hint="eastAsia" w:ascii="宋体" w:hAnsi="宋体" w:eastAsia="宋体" w:cs="Arial"/>
                <w:b/>
                <w:bCs/>
                <w:color w:val="000000"/>
                <w:kern w:val="0"/>
                <w:sz w:val="20"/>
                <w:szCs w:val="20"/>
              </w:rPr>
            </w:pPr>
            <w:r>
              <w:rPr>
                <w:rFonts w:hint="eastAsia" w:ascii="宋体" w:hAnsi="宋体" w:eastAsia="宋体" w:cs="Arial"/>
                <w:b/>
                <w:bCs/>
                <w:color w:val="000000"/>
                <w:kern w:val="0"/>
                <w:sz w:val="20"/>
                <w:szCs w:val="20"/>
              </w:rPr>
              <w:t>安装位置</w:t>
            </w:r>
          </w:p>
        </w:tc>
        <w:tc>
          <w:tcPr>
            <w:tcW w:w="709" w:type="dxa"/>
            <w:tcBorders>
              <w:top w:val="nil"/>
              <w:left w:val="nil"/>
              <w:bottom w:val="single" w:color="auto" w:sz="4" w:space="0"/>
              <w:right w:val="single" w:color="auto" w:sz="4" w:space="0"/>
            </w:tcBorders>
            <w:shd w:val="clear" w:color="auto" w:fill="auto"/>
            <w:vAlign w:val="center"/>
          </w:tcPr>
          <w:p w14:paraId="3D848981">
            <w:pPr>
              <w:widowControl/>
              <w:jc w:val="center"/>
              <w:rPr>
                <w:rFonts w:hint="eastAsia" w:ascii="宋体" w:hAnsi="宋体" w:eastAsia="宋体" w:cs="Arial"/>
                <w:b/>
                <w:bCs/>
                <w:color w:val="000000"/>
                <w:kern w:val="0"/>
                <w:sz w:val="20"/>
                <w:szCs w:val="20"/>
              </w:rPr>
            </w:pPr>
            <w:r>
              <w:rPr>
                <w:rFonts w:hint="eastAsia" w:ascii="宋体" w:hAnsi="宋体" w:eastAsia="宋体" w:cs="Arial"/>
                <w:b/>
                <w:bCs/>
                <w:color w:val="000000"/>
                <w:kern w:val="0"/>
                <w:sz w:val="20"/>
                <w:szCs w:val="20"/>
              </w:rPr>
              <w:t>安装数量</w:t>
            </w:r>
          </w:p>
        </w:tc>
        <w:tc>
          <w:tcPr>
            <w:tcW w:w="850" w:type="dxa"/>
            <w:tcBorders>
              <w:top w:val="nil"/>
              <w:left w:val="nil"/>
              <w:bottom w:val="single" w:color="auto" w:sz="4" w:space="0"/>
              <w:right w:val="single" w:color="auto" w:sz="4" w:space="0"/>
            </w:tcBorders>
            <w:shd w:val="clear" w:color="auto" w:fill="auto"/>
            <w:vAlign w:val="center"/>
          </w:tcPr>
          <w:p w14:paraId="209BEE89">
            <w:pPr>
              <w:widowControl/>
              <w:jc w:val="center"/>
              <w:rPr>
                <w:rFonts w:hint="eastAsia" w:ascii="宋体" w:hAnsi="宋体" w:eastAsia="宋体" w:cs="Arial"/>
                <w:b/>
                <w:bCs/>
                <w:color w:val="000000"/>
                <w:kern w:val="0"/>
                <w:sz w:val="20"/>
                <w:szCs w:val="20"/>
              </w:rPr>
            </w:pPr>
            <w:r>
              <w:rPr>
                <w:rFonts w:hint="eastAsia" w:ascii="宋体" w:hAnsi="宋体" w:eastAsia="宋体" w:cs="Arial"/>
                <w:b/>
                <w:bCs/>
                <w:color w:val="000000"/>
                <w:kern w:val="0"/>
                <w:sz w:val="20"/>
                <w:szCs w:val="20"/>
              </w:rPr>
              <w:t>供配电建设</w:t>
            </w:r>
          </w:p>
        </w:tc>
        <w:tc>
          <w:tcPr>
            <w:tcW w:w="567" w:type="dxa"/>
            <w:tcBorders>
              <w:top w:val="nil"/>
              <w:left w:val="nil"/>
              <w:bottom w:val="single" w:color="auto" w:sz="4" w:space="0"/>
              <w:right w:val="single" w:color="auto" w:sz="4" w:space="0"/>
            </w:tcBorders>
            <w:shd w:val="clear" w:color="auto" w:fill="auto"/>
            <w:vAlign w:val="center"/>
          </w:tcPr>
          <w:p w14:paraId="191ABAFD">
            <w:pPr>
              <w:widowControl/>
              <w:jc w:val="center"/>
              <w:rPr>
                <w:rFonts w:hint="eastAsia" w:ascii="宋体" w:hAnsi="宋体" w:eastAsia="宋体" w:cs="Arial"/>
                <w:b/>
                <w:bCs/>
                <w:color w:val="000000"/>
                <w:kern w:val="0"/>
                <w:sz w:val="20"/>
                <w:szCs w:val="20"/>
              </w:rPr>
            </w:pPr>
            <w:r>
              <w:rPr>
                <w:rFonts w:hint="eastAsia" w:ascii="宋体" w:hAnsi="宋体" w:eastAsia="宋体" w:cs="Arial"/>
                <w:b/>
                <w:bCs/>
                <w:color w:val="000000"/>
                <w:kern w:val="0"/>
                <w:sz w:val="20"/>
                <w:szCs w:val="20"/>
              </w:rPr>
              <w:t>电源线/线管各（米）</w:t>
            </w:r>
          </w:p>
        </w:tc>
      </w:tr>
      <w:tr w14:paraId="7A46DF8A">
        <w:tblPrEx>
          <w:tblCellMar>
            <w:top w:w="0" w:type="dxa"/>
            <w:left w:w="108" w:type="dxa"/>
            <w:bottom w:w="0" w:type="dxa"/>
            <w:right w:w="108" w:type="dxa"/>
          </w:tblCellMar>
        </w:tblPrEx>
        <w:trPr>
          <w:trHeight w:val="671" w:hRule="atLeast"/>
        </w:trPr>
        <w:tc>
          <w:tcPr>
            <w:tcW w:w="426" w:type="dxa"/>
            <w:tcBorders>
              <w:top w:val="nil"/>
              <w:left w:val="single" w:color="auto" w:sz="4" w:space="0"/>
              <w:bottom w:val="single" w:color="auto" w:sz="4" w:space="0"/>
              <w:right w:val="single" w:color="auto" w:sz="4" w:space="0"/>
            </w:tcBorders>
            <w:shd w:val="clear" w:color="auto" w:fill="auto"/>
            <w:vAlign w:val="center"/>
          </w:tcPr>
          <w:p w14:paraId="39680020">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1</w:t>
            </w:r>
          </w:p>
        </w:tc>
        <w:tc>
          <w:tcPr>
            <w:tcW w:w="1336" w:type="dxa"/>
            <w:tcBorders>
              <w:top w:val="nil"/>
              <w:left w:val="nil"/>
              <w:bottom w:val="single" w:color="auto" w:sz="4" w:space="0"/>
              <w:right w:val="single" w:color="auto" w:sz="4" w:space="0"/>
            </w:tcBorders>
            <w:shd w:val="clear" w:color="auto" w:fill="auto"/>
            <w:vAlign w:val="center"/>
          </w:tcPr>
          <w:p w14:paraId="65D9A430">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湟中区上五庄镇拉寺目水源地</w:t>
            </w:r>
          </w:p>
        </w:tc>
        <w:tc>
          <w:tcPr>
            <w:tcW w:w="709" w:type="dxa"/>
            <w:tcBorders>
              <w:top w:val="nil"/>
              <w:left w:val="nil"/>
              <w:bottom w:val="single" w:color="auto" w:sz="4" w:space="0"/>
              <w:right w:val="single" w:color="auto" w:sz="4" w:space="0"/>
            </w:tcBorders>
            <w:shd w:val="clear" w:color="auto" w:fill="auto"/>
            <w:vAlign w:val="center"/>
          </w:tcPr>
          <w:p w14:paraId="697CBA19">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设备房取电</w:t>
            </w:r>
          </w:p>
        </w:tc>
        <w:tc>
          <w:tcPr>
            <w:tcW w:w="992" w:type="dxa"/>
            <w:tcBorders>
              <w:top w:val="nil"/>
              <w:left w:val="nil"/>
              <w:bottom w:val="single" w:color="auto" w:sz="4" w:space="0"/>
              <w:right w:val="single" w:color="auto" w:sz="4" w:space="0"/>
            </w:tcBorders>
            <w:shd w:val="clear" w:color="auto" w:fill="auto"/>
            <w:vAlign w:val="center"/>
          </w:tcPr>
          <w:p w14:paraId="70FC4A2A">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水源地取水口</w:t>
            </w:r>
          </w:p>
        </w:tc>
        <w:tc>
          <w:tcPr>
            <w:tcW w:w="709" w:type="dxa"/>
            <w:tcBorders>
              <w:top w:val="nil"/>
              <w:left w:val="nil"/>
              <w:bottom w:val="single" w:color="auto" w:sz="4" w:space="0"/>
              <w:right w:val="single" w:color="auto" w:sz="4" w:space="0"/>
            </w:tcBorders>
            <w:shd w:val="clear" w:color="auto" w:fill="auto"/>
            <w:vAlign w:val="center"/>
          </w:tcPr>
          <w:p w14:paraId="19B61B7B">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1</w:t>
            </w:r>
          </w:p>
        </w:tc>
        <w:tc>
          <w:tcPr>
            <w:tcW w:w="851" w:type="dxa"/>
            <w:tcBorders>
              <w:top w:val="nil"/>
              <w:left w:val="nil"/>
              <w:bottom w:val="single" w:color="auto" w:sz="4" w:space="0"/>
              <w:right w:val="single" w:color="auto" w:sz="4" w:space="0"/>
            </w:tcBorders>
            <w:shd w:val="clear" w:color="auto" w:fill="auto"/>
            <w:vAlign w:val="center"/>
          </w:tcPr>
          <w:p w14:paraId="7A48F8A6">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220V本地供电</w:t>
            </w:r>
          </w:p>
        </w:tc>
        <w:tc>
          <w:tcPr>
            <w:tcW w:w="819" w:type="dxa"/>
            <w:tcBorders>
              <w:top w:val="nil"/>
              <w:left w:val="nil"/>
              <w:bottom w:val="single" w:color="auto" w:sz="4" w:space="0"/>
              <w:right w:val="single" w:color="auto" w:sz="4" w:space="0"/>
            </w:tcBorders>
            <w:shd w:val="clear" w:color="auto" w:fill="auto"/>
            <w:vAlign w:val="center"/>
          </w:tcPr>
          <w:p w14:paraId="5C77F6A2">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250</w:t>
            </w:r>
          </w:p>
        </w:tc>
        <w:tc>
          <w:tcPr>
            <w:tcW w:w="821" w:type="dxa"/>
            <w:tcBorders>
              <w:top w:val="nil"/>
              <w:left w:val="nil"/>
              <w:bottom w:val="single" w:color="auto" w:sz="4" w:space="0"/>
              <w:right w:val="single" w:color="auto" w:sz="4" w:space="0"/>
            </w:tcBorders>
            <w:shd w:val="clear" w:color="auto" w:fill="auto"/>
            <w:vAlign w:val="center"/>
          </w:tcPr>
          <w:p w14:paraId="013D8849">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水源地河滩</w:t>
            </w:r>
          </w:p>
        </w:tc>
        <w:tc>
          <w:tcPr>
            <w:tcW w:w="709" w:type="dxa"/>
            <w:tcBorders>
              <w:top w:val="nil"/>
              <w:left w:val="nil"/>
              <w:bottom w:val="single" w:color="auto" w:sz="4" w:space="0"/>
              <w:right w:val="single" w:color="auto" w:sz="4" w:space="0"/>
            </w:tcBorders>
            <w:shd w:val="clear" w:color="auto" w:fill="auto"/>
            <w:vAlign w:val="center"/>
          </w:tcPr>
          <w:p w14:paraId="30A20D6C">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1</w:t>
            </w:r>
          </w:p>
        </w:tc>
        <w:tc>
          <w:tcPr>
            <w:tcW w:w="850" w:type="dxa"/>
            <w:tcBorders>
              <w:top w:val="nil"/>
              <w:left w:val="nil"/>
              <w:bottom w:val="single" w:color="auto" w:sz="4" w:space="0"/>
              <w:right w:val="single" w:color="auto" w:sz="4" w:space="0"/>
            </w:tcBorders>
            <w:shd w:val="clear" w:color="auto" w:fill="auto"/>
            <w:vAlign w:val="center"/>
          </w:tcPr>
          <w:p w14:paraId="53E9A4DA">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220V本地供电</w:t>
            </w:r>
          </w:p>
        </w:tc>
        <w:tc>
          <w:tcPr>
            <w:tcW w:w="567" w:type="dxa"/>
            <w:tcBorders>
              <w:top w:val="nil"/>
              <w:left w:val="nil"/>
              <w:bottom w:val="single" w:color="auto" w:sz="4" w:space="0"/>
              <w:right w:val="single" w:color="auto" w:sz="4" w:space="0"/>
            </w:tcBorders>
            <w:shd w:val="clear" w:color="auto" w:fill="auto"/>
            <w:vAlign w:val="center"/>
          </w:tcPr>
          <w:p w14:paraId="45662283">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200</w:t>
            </w:r>
          </w:p>
        </w:tc>
      </w:tr>
      <w:tr w14:paraId="261C3A03">
        <w:tblPrEx>
          <w:tblCellMar>
            <w:top w:w="0" w:type="dxa"/>
            <w:left w:w="108" w:type="dxa"/>
            <w:bottom w:w="0" w:type="dxa"/>
            <w:right w:w="108" w:type="dxa"/>
          </w:tblCellMar>
        </w:tblPrEx>
        <w:trPr>
          <w:trHeight w:val="671" w:hRule="atLeast"/>
        </w:trPr>
        <w:tc>
          <w:tcPr>
            <w:tcW w:w="426" w:type="dxa"/>
            <w:tcBorders>
              <w:top w:val="nil"/>
              <w:left w:val="single" w:color="auto" w:sz="4" w:space="0"/>
              <w:bottom w:val="single" w:color="auto" w:sz="4" w:space="0"/>
              <w:right w:val="single" w:color="auto" w:sz="4" w:space="0"/>
            </w:tcBorders>
            <w:shd w:val="clear" w:color="auto" w:fill="auto"/>
            <w:vAlign w:val="center"/>
          </w:tcPr>
          <w:p w14:paraId="0BFABD2D">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2</w:t>
            </w:r>
          </w:p>
        </w:tc>
        <w:tc>
          <w:tcPr>
            <w:tcW w:w="1336" w:type="dxa"/>
            <w:tcBorders>
              <w:top w:val="nil"/>
              <w:left w:val="nil"/>
              <w:bottom w:val="single" w:color="auto" w:sz="4" w:space="0"/>
              <w:right w:val="single" w:color="auto" w:sz="4" w:space="0"/>
            </w:tcBorders>
            <w:shd w:val="clear" w:color="auto" w:fill="auto"/>
            <w:vAlign w:val="center"/>
          </w:tcPr>
          <w:p w14:paraId="2D382D8F">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湟中区李家山镇香林峡水源地</w:t>
            </w:r>
          </w:p>
        </w:tc>
        <w:tc>
          <w:tcPr>
            <w:tcW w:w="709" w:type="dxa"/>
            <w:tcBorders>
              <w:top w:val="nil"/>
              <w:left w:val="nil"/>
              <w:bottom w:val="single" w:color="auto" w:sz="4" w:space="0"/>
              <w:right w:val="single" w:color="auto" w:sz="4" w:space="0"/>
            </w:tcBorders>
            <w:shd w:val="clear" w:color="auto" w:fill="auto"/>
            <w:vAlign w:val="center"/>
          </w:tcPr>
          <w:p w14:paraId="5F3881FE">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设备房取电</w:t>
            </w:r>
          </w:p>
        </w:tc>
        <w:tc>
          <w:tcPr>
            <w:tcW w:w="992" w:type="dxa"/>
            <w:tcBorders>
              <w:top w:val="nil"/>
              <w:left w:val="nil"/>
              <w:bottom w:val="single" w:color="auto" w:sz="4" w:space="0"/>
              <w:right w:val="single" w:color="auto" w:sz="4" w:space="0"/>
            </w:tcBorders>
            <w:shd w:val="clear" w:color="auto" w:fill="auto"/>
            <w:vAlign w:val="center"/>
          </w:tcPr>
          <w:p w14:paraId="15DFCC36">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水源地取水口旁</w:t>
            </w:r>
          </w:p>
        </w:tc>
        <w:tc>
          <w:tcPr>
            <w:tcW w:w="709" w:type="dxa"/>
            <w:tcBorders>
              <w:top w:val="nil"/>
              <w:left w:val="nil"/>
              <w:bottom w:val="single" w:color="auto" w:sz="4" w:space="0"/>
              <w:right w:val="single" w:color="auto" w:sz="4" w:space="0"/>
            </w:tcBorders>
            <w:shd w:val="clear" w:color="auto" w:fill="auto"/>
            <w:vAlign w:val="center"/>
          </w:tcPr>
          <w:p w14:paraId="45A9EC6A">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1</w:t>
            </w:r>
          </w:p>
        </w:tc>
        <w:tc>
          <w:tcPr>
            <w:tcW w:w="851" w:type="dxa"/>
            <w:tcBorders>
              <w:top w:val="nil"/>
              <w:left w:val="nil"/>
              <w:bottom w:val="single" w:color="auto" w:sz="4" w:space="0"/>
              <w:right w:val="single" w:color="auto" w:sz="4" w:space="0"/>
            </w:tcBorders>
            <w:shd w:val="clear" w:color="auto" w:fill="auto"/>
            <w:vAlign w:val="center"/>
          </w:tcPr>
          <w:p w14:paraId="22DF6C36">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220V本地供电</w:t>
            </w:r>
          </w:p>
        </w:tc>
        <w:tc>
          <w:tcPr>
            <w:tcW w:w="819" w:type="dxa"/>
            <w:tcBorders>
              <w:top w:val="nil"/>
              <w:left w:val="nil"/>
              <w:bottom w:val="single" w:color="auto" w:sz="4" w:space="0"/>
              <w:right w:val="single" w:color="auto" w:sz="4" w:space="0"/>
            </w:tcBorders>
            <w:shd w:val="clear" w:color="auto" w:fill="auto"/>
            <w:vAlign w:val="center"/>
          </w:tcPr>
          <w:p w14:paraId="704714F4">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200</w:t>
            </w:r>
          </w:p>
        </w:tc>
        <w:tc>
          <w:tcPr>
            <w:tcW w:w="821" w:type="dxa"/>
            <w:tcBorders>
              <w:top w:val="nil"/>
              <w:left w:val="nil"/>
              <w:bottom w:val="single" w:color="auto" w:sz="4" w:space="0"/>
              <w:right w:val="single" w:color="auto" w:sz="4" w:space="0"/>
            </w:tcBorders>
            <w:shd w:val="clear" w:color="auto" w:fill="auto"/>
            <w:vAlign w:val="center"/>
          </w:tcPr>
          <w:p w14:paraId="71FBBD76">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沉淀池上游</w:t>
            </w:r>
          </w:p>
        </w:tc>
        <w:tc>
          <w:tcPr>
            <w:tcW w:w="709" w:type="dxa"/>
            <w:tcBorders>
              <w:top w:val="nil"/>
              <w:left w:val="nil"/>
              <w:bottom w:val="single" w:color="auto" w:sz="4" w:space="0"/>
              <w:right w:val="single" w:color="auto" w:sz="4" w:space="0"/>
            </w:tcBorders>
            <w:shd w:val="clear" w:color="auto" w:fill="auto"/>
            <w:vAlign w:val="center"/>
          </w:tcPr>
          <w:p w14:paraId="61A05C90">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1</w:t>
            </w:r>
          </w:p>
        </w:tc>
        <w:tc>
          <w:tcPr>
            <w:tcW w:w="850" w:type="dxa"/>
            <w:tcBorders>
              <w:top w:val="nil"/>
              <w:left w:val="nil"/>
              <w:bottom w:val="single" w:color="auto" w:sz="4" w:space="0"/>
              <w:right w:val="single" w:color="auto" w:sz="4" w:space="0"/>
            </w:tcBorders>
            <w:shd w:val="clear" w:color="auto" w:fill="auto"/>
            <w:vAlign w:val="center"/>
          </w:tcPr>
          <w:p w14:paraId="600BF486">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220V本地供电</w:t>
            </w:r>
          </w:p>
        </w:tc>
        <w:tc>
          <w:tcPr>
            <w:tcW w:w="567" w:type="dxa"/>
            <w:tcBorders>
              <w:top w:val="nil"/>
              <w:left w:val="nil"/>
              <w:bottom w:val="single" w:color="auto" w:sz="4" w:space="0"/>
              <w:right w:val="single" w:color="auto" w:sz="4" w:space="0"/>
            </w:tcBorders>
            <w:shd w:val="clear" w:color="auto" w:fill="auto"/>
            <w:vAlign w:val="center"/>
          </w:tcPr>
          <w:p w14:paraId="45B0AE51">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200</w:t>
            </w:r>
          </w:p>
        </w:tc>
      </w:tr>
      <w:tr w14:paraId="0AAEAC72">
        <w:tblPrEx>
          <w:tblCellMar>
            <w:top w:w="0" w:type="dxa"/>
            <w:left w:w="108" w:type="dxa"/>
            <w:bottom w:w="0" w:type="dxa"/>
            <w:right w:w="108" w:type="dxa"/>
          </w:tblCellMar>
        </w:tblPrEx>
        <w:trPr>
          <w:trHeight w:val="671" w:hRule="atLeast"/>
        </w:trPr>
        <w:tc>
          <w:tcPr>
            <w:tcW w:w="426" w:type="dxa"/>
            <w:tcBorders>
              <w:top w:val="nil"/>
              <w:left w:val="single" w:color="auto" w:sz="4" w:space="0"/>
              <w:bottom w:val="single" w:color="auto" w:sz="4" w:space="0"/>
              <w:right w:val="single" w:color="auto" w:sz="4" w:space="0"/>
            </w:tcBorders>
            <w:shd w:val="clear" w:color="auto" w:fill="auto"/>
            <w:vAlign w:val="center"/>
          </w:tcPr>
          <w:p w14:paraId="23EA3DBD">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3</w:t>
            </w:r>
          </w:p>
        </w:tc>
        <w:tc>
          <w:tcPr>
            <w:tcW w:w="1336" w:type="dxa"/>
            <w:tcBorders>
              <w:top w:val="nil"/>
              <w:left w:val="nil"/>
              <w:bottom w:val="single" w:color="auto" w:sz="4" w:space="0"/>
              <w:right w:val="single" w:color="auto" w:sz="4" w:space="0"/>
            </w:tcBorders>
            <w:shd w:val="clear" w:color="auto" w:fill="auto"/>
            <w:vAlign w:val="center"/>
          </w:tcPr>
          <w:p w14:paraId="6C4F3B6C">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湟中区云谷川水库水源地</w:t>
            </w:r>
          </w:p>
        </w:tc>
        <w:tc>
          <w:tcPr>
            <w:tcW w:w="709" w:type="dxa"/>
            <w:tcBorders>
              <w:top w:val="nil"/>
              <w:left w:val="nil"/>
              <w:bottom w:val="single" w:color="auto" w:sz="4" w:space="0"/>
              <w:right w:val="single" w:color="auto" w:sz="4" w:space="0"/>
            </w:tcBorders>
            <w:shd w:val="clear" w:color="auto" w:fill="auto"/>
            <w:vAlign w:val="center"/>
          </w:tcPr>
          <w:p w14:paraId="36A78E2E">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大坝就近取电</w:t>
            </w:r>
          </w:p>
        </w:tc>
        <w:tc>
          <w:tcPr>
            <w:tcW w:w="992" w:type="dxa"/>
            <w:tcBorders>
              <w:top w:val="nil"/>
              <w:left w:val="nil"/>
              <w:bottom w:val="single" w:color="auto" w:sz="4" w:space="0"/>
              <w:right w:val="single" w:color="auto" w:sz="4" w:space="0"/>
            </w:tcBorders>
            <w:shd w:val="clear" w:color="auto" w:fill="auto"/>
            <w:vAlign w:val="center"/>
          </w:tcPr>
          <w:p w14:paraId="55063C92">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水库大坝中间位置</w:t>
            </w:r>
          </w:p>
        </w:tc>
        <w:tc>
          <w:tcPr>
            <w:tcW w:w="709" w:type="dxa"/>
            <w:tcBorders>
              <w:top w:val="nil"/>
              <w:left w:val="nil"/>
              <w:bottom w:val="single" w:color="auto" w:sz="4" w:space="0"/>
              <w:right w:val="single" w:color="auto" w:sz="4" w:space="0"/>
            </w:tcBorders>
            <w:shd w:val="clear" w:color="auto" w:fill="auto"/>
            <w:vAlign w:val="center"/>
          </w:tcPr>
          <w:p w14:paraId="6B4EA047">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1</w:t>
            </w:r>
          </w:p>
        </w:tc>
        <w:tc>
          <w:tcPr>
            <w:tcW w:w="851" w:type="dxa"/>
            <w:tcBorders>
              <w:top w:val="nil"/>
              <w:left w:val="nil"/>
              <w:bottom w:val="single" w:color="auto" w:sz="4" w:space="0"/>
              <w:right w:val="single" w:color="auto" w:sz="4" w:space="0"/>
            </w:tcBorders>
            <w:shd w:val="clear" w:color="auto" w:fill="auto"/>
            <w:vAlign w:val="center"/>
          </w:tcPr>
          <w:p w14:paraId="4267AB92">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220V本地供电</w:t>
            </w:r>
          </w:p>
        </w:tc>
        <w:tc>
          <w:tcPr>
            <w:tcW w:w="819" w:type="dxa"/>
            <w:tcBorders>
              <w:top w:val="nil"/>
              <w:left w:val="nil"/>
              <w:bottom w:val="single" w:color="auto" w:sz="4" w:space="0"/>
              <w:right w:val="single" w:color="auto" w:sz="4" w:space="0"/>
            </w:tcBorders>
            <w:shd w:val="clear" w:color="auto" w:fill="auto"/>
            <w:vAlign w:val="center"/>
          </w:tcPr>
          <w:p w14:paraId="1E2DC98C">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150</w:t>
            </w:r>
          </w:p>
        </w:tc>
        <w:tc>
          <w:tcPr>
            <w:tcW w:w="821" w:type="dxa"/>
            <w:tcBorders>
              <w:top w:val="nil"/>
              <w:left w:val="nil"/>
              <w:bottom w:val="single" w:color="auto" w:sz="4" w:space="0"/>
              <w:right w:val="single" w:color="auto" w:sz="4" w:space="0"/>
            </w:tcBorders>
            <w:shd w:val="clear" w:color="auto" w:fill="auto"/>
            <w:vAlign w:val="center"/>
          </w:tcPr>
          <w:p w14:paraId="5D99BA9A">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水库上游左右各两侧</w:t>
            </w:r>
          </w:p>
        </w:tc>
        <w:tc>
          <w:tcPr>
            <w:tcW w:w="709" w:type="dxa"/>
            <w:tcBorders>
              <w:top w:val="nil"/>
              <w:left w:val="nil"/>
              <w:bottom w:val="single" w:color="auto" w:sz="4" w:space="0"/>
              <w:right w:val="single" w:color="auto" w:sz="4" w:space="0"/>
            </w:tcBorders>
            <w:shd w:val="clear" w:color="auto" w:fill="auto"/>
            <w:vAlign w:val="center"/>
          </w:tcPr>
          <w:p w14:paraId="6D988F5E">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2</w:t>
            </w:r>
          </w:p>
        </w:tc>
        <w:tc>
          <w:tcPr>
            <w:tcW w:w="850" w:type="dxa"/>
            <w:tcBorders>
              <w:top w:val="nil"/>
              <w:left w:val="nil"/>
              <w:bottom w:val="single" w:color="auto" w:sz="4" w:space="0"/>
              <w:right w:val="single" w:color="auto" w:sz="4" w:space="0"/>
            </w:tcBorders>
            <w:shd w:val="clear" w:color="auto" w:fill="auto"/>
            <w:vAlign w:val="center"/>
          </w:tcPr>
          <w:p w14:paraId="10C0F8CB">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太阳能供电</w:t>
            </w:r>
          </w:p>
        </w:tc>
        <w:tc>
          <w:tcPr>
            <w:tcW w:w="567" w:type="dxa"/>
            <w:tcBorders>
              <w:top w:val="nil"/>
              <w:left w:val="nil"/>
              <w:bottom w:val="single" w:color="auto" w:sz="4" w:space="0"/>
              <w:right w:val="single" w:color="auto" w:sz="4" w:space="0"/>
            </w:tcBorders>
            <w:shd w:val="clear" w:color="auto" w:fill="auto"/>
            <w:vAlign w:val="center"/>
          </w:tcPr>
          <w:p w14:paraId="56155019">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0</w:t>
            </w:r>
          </w:p>
        </w:tc>
      </w:tr>
      <w:tr w14:paraId="1A49AEF9">
        <w:tblPrEx>
          <w:tblCellMar>
            <w:top w:w="0" w:type="dxa"/>
            <w:left w:w="108" w:type="dxa"/>
            <w:bottom w:w="0" w:type="dxa"/>
            <w:right w:w="108" w:type="dxa"/>
          </w:tblCellMar>
        </w:tblPrEx>
        <w:trPr>
          <w:trHeight w:val="671" w:hRule="atLeast"/>
        </w:trPr>
        <w:tc>
          <w:tcPr>
            <w:tcW w:w="426" w:type="dxa"/>
            <w:tcBorders>
              <w:top w:val="nil"/>
              <w:left w:val="single" w:color="auto" w:sz="4" w:space="0"/>
              <w:bottom w:val="single" w:color="auto" w:sz="4" w:space="0"/>
              <w:right w:val="single" w:color="auto" w:sz="4" w:space="0"/>
            </w:tcBorders>
            <w:shd w:val="clear" w:color="auto" w:fill="auto"/>
            <w:vAlign w:val="center"/>
          </w:tcPr>
          <w:p w14:paraId="6A1A5153">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4</w:t>
            </w:r>
          </w:p>
        </w:tc>
        <w:tc>
          <w:tcPr>
            <w:tcW w:w="1336" w:type="dxa"/>
            <w:tcBorders>
              <w:top w:val="nil"/>
              <w:left w:val="nil"/>
              <w:bottom w:val="single" w:color="auto" w:sz="4" w:space="0"/>
              <w:right w:val="single" w:color="auto" w:sz="4" w:space="0"/>
            </w:tcBorders>
            <w:shd w:val="clear" w:color="auto" w:fill="auto"/>
            <w:vAlign w:val="center"/>
          </w:tcPr>
          <w:p w14:paraId="0EAEDB09">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湟中区李家山镇九眼泉水源地（备用水源）</w:t>
            </w:r>
          </w:p>
        </w:tc>
        <w:tc>
          <w:tcPr>
            <w:tcW w:w="709" w:type="dxa"/>
            <w:tcBorders>
              <w:top w:val="nil"/>
              <w:left w:val="nil"/>
              <w:bottom w:val="single" w:color="auto" w:sz="4" w:space="0"/>
              <w:right w:val="single" w:color="auto" w:sz="4" w:space="0"/>
            </w:tcBorders>
            <w:shd w:val="clear" w:color="auto" w:fill="auto"/>
            <w:vAlign w:val="center"/>
          </w:tcPr>
          <w:p w14:paraId="6515A1BD">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w:t>
            </w:r>
          </w:p>
        </w:tc>
        <w:tc>
          <w:tcPr>
            <w:tcW w:w="992" w:type="dxa"/>
            <w:tcBorders>
              <w:top w:val="nil"/>
              <w:left w:val="nil"/>
              <w:bottom w:val="single" w:color="auto" w:sz="4" w:space="0"/>
              <w:right w:val="single" w:color="auto" w:sz="4" w:space="0"/>
            </w:tcBorders>
            <w:shd w:val="clear" w:color="auto" w:fill="auto"/>
            <w:vAlign w:val="center"/>
          </w:tcPr>
          <w:p w14:paraId="09EAB5B7">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廊道入口</w:t>
            </w:r>
          </w:p>
        </w:tc>
        <w:tc>
          <w:tcPr>
            <w:tcW w:w="709" w:type="dxa"/>
            <w:tcBorders>
              <w:top w:val="nil"/>
              <w:left w:val="nil"/>
              <w:bottom w:val="single" w:color="auto" w:sz="4" w:space="0"/>
              <w:right w:val="single" w:color="auto" w:sz="4" w:space="0"/>
            </w:tcBorders>
            <w:shd w:val="clear" w:color="auto" w:fill="auto"/>
            <w:vAlign w:val="center"/>
          </w:tcPr>
          <w:p w14:paraId="0C49F018">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1</w:t>
            </w:r>
          </w:p>
        </w:tc>
        <w:tc>
          <w:tcPr>
            <w:tcW w:w="851" w:type="dxa"/>
            <w:tcBorders>
              <w:top w:val="nil"/>
              <w:left w:val="nil"/>
              <w:bottom w:val="single" w:color="auto" w:sz="4" w:space="0"/>
              <w:right w:val="single" w:color="auto" w:sz="4" w:space="0"/>
            </w:tcBorders>
            <w:shd w:val="clear" w:color="auto" w:fill="auto"/>
            <w:vAlign w:val="center"/>
          </w:tcPr>
          <w:p w14:paraId="0B8C8E8E">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太阳能供电</w:t>
            </w:r>
          </w:p>
        </w:tc>
        <w:tc>
          <w:tcPr>
            <w:tcW w:w="819" w:type="dxa"/>
            <w:tcBorders>
              <w:top w:val="nil"/>
              <w:left w:val="nil"/>
              <w:bottom w:val="single" w:color="auto" w:sz="4" w:space="0"/>
              <w:right w:val="single" w:color="auto" w:sz="4" w:space="0"/>
            </w:tcBorders>
            <w:shd w:val="clear" w:color="auto" w:fill="auto"/>
            <w:vAlign w:val="center"/>
          </w:tcPr>
          <w:p w14:paraId="2A459C27">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0</w:t>
            </w:r>
          </w:p>
        </w:tc>
        <w:tc>
          <w:tcPr>
            <w:tcW w:w="821" w:type="dxa"/>
            <w:tcBorders>
              <w:top w:val="nil"/>
              <w:left w:val="nil"/>
              <w:bottom w:val="single" w:color="auto" w:sz="4" w:space="0"/>
              <w:right w:val="single" w:color="auto" w:sz="4" w:space="0"/>
            </w:tcBorders>
            <w:shd w:val="clear" w:color="auto" w:fill="auto"/>
            <w:vAlign w:val="center"/>
          </w:tcPr>
          <w:p w14:paraId="4B845158">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水源地西侧</w:t>
            </w:r>
          </w:p>
        </w:tc>
        <w:tc>
          <w:tcPr>
            <w:tcW w:w="709" w:type="dxa"/>
            <w:tcBorders>
              <w:top w:val="nil"/>
              <w:left w:val="nil"/>
              <w:bottom w:val="single" w:color="auto" w:sz="4" w:space="0"/>
              <w:right w:val="single" w:color="auto" w:sz="4" w:space="0"/>
            </w:tcBorders>
            <w:shd w:val="clear" w:color="auto" w:fill="auto"/>
            <w:vAlign w:val="center"/>
          </w:tcPr>
          <w:p w14:paraId="2E317A42">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1</w:t>
            </w:r>
          </w:p>
        </w:tc>
        <w:tc>
          <w:tcPr>
            <w:tcW w:w="850" w:type="dxa"/>
            <w:tcBorders>
              <w:top w:val="nil"/>
              <w:left w:val="nil"/>
              <w:bottom w:val="single" w:color="auto" w:sz="4" w:space="0"/>
              <w:right w:val="single" w:color="auto" w:sz="4" w:space="0"/>
            </w:tcBorders>
            <w:shd w:val="clear" w:color="auto" w:fill="auto"/>
            <w:vAlign w:val="center"/>
          </w:tcPr>
          <w:p w14:paraId="3B2BEEEC">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太阳能供电</w:t>
            </w:r>
          </w:p>
        </w:tc>
        <w:tc>
          <w:tcPr>
            <w:tcW w:w="567" w:type="dxa"/>
            <w:tcBorders>
              <w:top w:val="nil"/>
              <w:left w:val="nil"/>
              <w:bottom w:val="single" w:color="auto" w:sz="4" w:space="0"/>
              <w:right w:val="single" w:color="auto" w:sz="4" w:space="0"/>
            </w:tcBorders>
            <w:shd w:val="clear" w:color="auto" w:fill="auto"/>
            <w:vAlign w:val="center"/>
          </w:tcPr>
          <w:p w14:paraId="1F79AF60">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0</w:t>
            </w:r>
          </w:p>
        </w:tc>
      </w:tr>
      <w:tr w14:paraId="3013A19F">
        <w:tblPrEx>
          <w:tblCellMar>
            <w:top w:w="0" w:type="dxa"/>
            <w:left w:w="108" w:type="dxa"/>
            <w:bottom w:w="0" w:type="dxa"/>
            <w:right w:w="108" w:type="dxa"/>
          </w:tblCellMar>
        </w:tblPrEx>
        <w:trPr>
          <w:trHeight w:val="671" w:hRule="atLeast"/>
        </w:trPr>
        <w:tc>
          <w:tcPr>
            <w:tcW w:w="426" w:type="dxa"/>
            <w:tcBorders>
              <w:top w:val="nil"/>
              <w:left w:val="single" w:color="auto" w:sz="4" w:space="0"/>
              <w:bottom w:val="single" w:color="auto" w:sz="4" w:space="0"/>
              <w:right w:val="single" w:color="auto" w:sz="4" w:space="0"/>
            </w:tcBorders>
            <w:shd w:val="clear" w:color="auto" w:fill="auto"/>
            <w:vAlign w:val="center"/>
          </w:tcPr>
          <w:p w14:paraId="17CA49AC">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5</w:t>
            </w:r>
          </w:p>
        </w:tc>
        <w:tc>
          <w:tcPr>
            <w:tcW w:w="1336" w:type="dxa"/>
            <w:tcBorders>
              <w:top w:val="nil"/>
              <w:left w:val="nil"/>
              <w:bottom w:val="single" w:color="auto" w:sz="4" w:space="0"/>
              <w:right w:val="single" w:color="auto" w:sz="4" w:space="0"/>
            </w:tcBorders>
            <w:shd w:val="clear" w:color="auto" w:fill="auto"/>
            <w:vAlign w:val="center"/>
          </w:tcPr>
          <w:p w14:paraId="4678FC56">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湟中区田家寨镇流水沟水源地</w:t>
            </w:r>
          </w:p>
        </w:tc>
        <w:tc>
          <w:tcPr>
            <w:tcW w:w="709" w:type="dxa"/>
            <w:tcBorders>
              <w:top w:val="nil"/>
              <w:left w:val="nil"/>
              <w:bottom w:val="single" w:color="auto" w:sz="4" w:space="0"/>
              <w:right w:val="single" w:color="auto" w:sz="4" w:space="0"/>
            </w:tcBorders>
            <w:shd w:val="clear" w:color="auto" w:fill="auto"/>
            <w:vAlign w:val="center"/>
          </w:tcPr>
          <w:p w14:paraId="2A755991">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w:t>
            </w:r>
          </w:p>
        </w:tc>
        <w:tc>
          <w:tcPr>
            <w:tcW w:w="992" w:type="dxa"/>
            <w:tcBorders>
              <w:top w:val="nil"/>
              <w:left w:val="nil"/>
              <w:bottom w:val="single" w:color="auto" w:sz="4" w:space="0"/>
              <w:right w:val="single" w:color="auto" w:sz="4" w:space="0"/>
            </w:tcBorders>
            <w:shd w:val="clear" w:color="auto" w:fill="auto"/>
            <w:vAlign w:val="center"/>
          </w:tcPr>
          <w:p w14:paraId="72F9DFD9">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沉淀池旁边</w:t>
            </w:r>
          </w:p>
        </w:tc>
        <w:tc>
          <w:tcPr>
            <w:tcW w:w="709" w:type="dxa"/>
            <w:tcBorders>
              <w:top w:val="nil"/>
              <w:left w:val="nil"/>
              <w:bottom w:val="single" w:color="auto" w:sz="4" w:space="0"/>
              <w:right w:val="single" w:color="auto" w:sz="4" w:space="0"/>
            </w:tcBorders>
            <w:shd w:val="clear" w:color="auto" w:fill="auto"/>
            <w:vAlign w:val="center"/>
          </w:tcPr>
          <w:p w14:paraId="770D6F4E">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1</w:t>
            </w:r>
          </w:p>
        </w:tc>
        <w:tc>
          <w:tcPr>
            <w:tcW w:w="851" w:type="dxa"/>
            <w:tcBorders>
              <w:top w:val="nil"/>
              <w:left w:val="nil"/>
              <w:bottom w:val="single" w:color="auto" w:sz="4" w:space="0"/>
              <w:right w:val="single" w:color="auto" w:sz="4" w:space="0"/>
            </w:tcBorders>
            <w:shd w:val="clear" w:color="auto" w:fill="auto"/>
            <w:vAlign w:val="center"/>
          </w:tcPr>
          <w:p w14:paraId="5973FDB1">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太阳能供电</w:t>
            </w:r>
          </w:p>
        </w:tc>
        <w:tc>
          <w:tcPr>
            <w:tcW w:w="819" w:type="dxa"/>
            <w:tcBorders>
              <w:top w:val="nil"/>
              <w:left w:val="nil"/>
              <w:bottom w:val="single" w:color="auto" w:sz="4" w:space="0"/>
              <w:right w:val="single" w:color="auto" w:sz="4" w:space="0"/>
            </w:tcBorders>
            <w:shd w:val="clear" w:color="auto" w:fill="auto"/>
            <w:vAlign w:val="center"/>
          </w:tcPr>
          <w:p w14:paraId="51D860F7">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0</w:t>
            </w:r>
          </w:p>
        </w:tc>
        <w:tc>
          <w:tcPr>
            <w:tcW w:w="821" w:type="dxa"/>
            <w:tcBorders>
              <w:top w:val="nil"/>
              <w:left w:val="nil"/>
              <w:bottom w:val="single" w:color="auto" w:sz="4" w:space="0"/>
              <w:right w:val="single" w:color="auto" w:sz="4" w:space="0"/>
            </w:tcBorders>
            <w:shd w:val="clear" w:color="auto" w:fill="auto"/>
            <w:vAlign w:val="center"/>
          </w:tcPr>
          <w:p w14:paraId="750CD29F">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水源地取水口</w:t>
            </w:r>
          </w:p>
        </w:tc>
        <w:tc>
          <w:tcPr>
            <w:tcW w:w="709" w:type="dxa"/>
            <w:tcBorders>
              <w:top w:val="nil"/>
              <w:left w:val="nil"/>
              <w:bottom w:val="single" w:color="auto" w:sz="4" w:space="0"/>
              <w:right w:val="single" w:color="auto" w:sz="4" w:space="0"/>
            </w:tcBorders>
            <w:shd w:val="clear" w:color="auto" w:fill="auto"/>
            <w:vAlign w:val="center"/>
          </w:tcPr>
          <w:p w14:paraId="07F91760">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1</w:t>
            </w:r>
          </w:p>
        </w:tc>
        <w:tc>
          <w:tcPr>
            <w:tcW w:w="850" w:type="dxa"/>
            <w:tcBorders>
              <w:top w:val="nil"/>
              <w:left w:val="nil"/>
              <w:bottom w:val="single" w:color="auto" w:sz="4" w:space="0"/>
              <w:right w:val="single" w:color="auto" w:sz="4" w:space="0"/>
            </w:tcBorders>
            <w:shd w:val="clear" w:color="auto" w:fill="auto"/>
            <w:vAlign w:val="center"/>
          </w:tcPr>
          <w:p w14:paraId="7A0269DB">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太阳能供电</w:t>
            </w:r>
          </w:p>
        </w:tc>
        <w:tc>
          <w:tcPr>
            <w:tcW w:w="567" w:type="dxa"/>
            <w:tcBorders>
              <w:top w:val="nil"/>
              <w:left w:val="nil"/>
              <w:bottom w:val="single" w:color="auto" w:sz="4" w:space="0"/>
              <w:right w:val="single" w:color="auto" w:sz="4" w:space="0"/>
            </w:tcBorders>
            <w:shd w:val="clear" w:color="auto" w:fill="auto"/>
            <w:vAlign w:val="center"/>
          </w:tcPr>
          <w:p w14:paraId="49A3E84D">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0</w:t>
            </w:r>
          </w:p>
        </w:tc>
      </w:tr>
      <w:tr w14:paraId="3524D619">
        <w:tblPrEx>
          <w:tblCellMar>
            <w:top w:w="0" w:type="dxa"/>
            <w:left w:w="108" w:type="dxa"/>
            <w:bottom w:w="0" w:type="dxa"/>
            <w:right w:w="108" w:type="dxa"/>
          </w:tblCellMar>
        </w:tblPrEx>
        <w:trPr>
          <w:trHeight w:val="671" w:hRule="atLeast"/>
        </w:trPr>
        <w:tc>
          <w:tcPr>
            <w:tcW w:w="426" w:type="dxa"/>
            <w:tcBorders>
              <w:top w:val="nil"/>
              <w:left w:val="single" w:color="auto" w:sz="4" w:space="0"/>
              <w:bottom w:val="single" w:color="auto" w:sz="4" w:space="0"/>
              <w:right w:val="single" w:color="auto" w:sz="4" w:space="0"/>
            </w:tcBorders>
            <w:shd w:val="clear" w:color="auto" w:fill="auto"/>
            <w:vAlign w:val="center"/>
          </w:tcPr>
          <w:p w14:paraId="7C2C2DD2">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6</w:t>
            </w:r>
          </w:p>
        </w:tc>
        <w:tc>
          <w:tcPr>
            <w:tcW w:w="1336" w:type="dxa"/>
            <w:tcBorders>
              <w:top w:val="nil"/>
              <w:left w:val="nil"/>
              <w:bottom w:val="single" w:color="auto" w:sz="4" w:space="0"/>
              <w:right w:val="single" w:color="auto" w:sz="4" w:space="0"/>
            </w:tcBorders>
            <w:shd w:val="clear" w:color="auto" w:fill="auto"/>
            <w:vAlign w:val="center"/>
          </w:tcPr>
          <w:p w14:paraId="45E6C20E">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湟中区小南川水库水源地</w:t>
            </w:r>
          </w:p>
        </w:tc>
        <w:tc>
          <w:tcPr>
            <w:tcW w:w="709" w:type="dxa"/>
            <w:tcBorders>
              <w:top w:val="nil"/>
              <w:left w:val="nil"/>
              <w:bottom w:val="single" w:color="auto" w:sz="4" w:space="0"/>
              <w:right w:val="single" w:color="auto" w:sz="4" w:space="0"/>
            </w:tcBorders>
            <w:shd w:val="clear" w:color="auto" w:fill="auto"/>
            <w:vAlign w:val="center"/>
          </w:tcPr>
          <w:p w14:paraId="40AF7B29">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大坝就近取电</w:t>
            </w:r>
          </w:p>
        </w:tc>
        <w:tc>
          <w:tcPr>
            <w:tcW w:w="992" w:type="dxa"/>
            <w:tcBorders>
              <w:top w:val="nil"/>
              <w:left w:val="nil"/>
              <w:bottom w:val="single" w:color="auto" w:sz="4" w:space="0"/>
              <w:right w:val="single" w:color="auto" w:sz="4" w:space="0"/>
            </w:tcBorders>
            <w:shd w:val="clear" w:color="auto" w:fill="auto"/>
            <w:vAlign w:val="center"/>
          </w:tcPr>
          <w:p w14:paraId="2714B933">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水库大坝中间位置</w:t>
            </w:r>
          </w:p>
        </w:tc>
        <w:tc>
          <w:tcPr>
            <w:tcW w:w="709" w:type="dxa"/>
            <w:tcBorders>
              <w:top w:val="nil"/>
              <w:left w:val="nil"/>
              <w:bottom w:val="single" w:color="auto" w:sz="4" w:space="0"/>
              <w:right w:val="single" w:color="auto" w:sz="4" w:space="0"/>
            </w:tcBorders>
            <w:shd w:val="clear" w:color="auto" w:fill="auto"/>
            <w:vAlign w:val="center"/>
          </w:tcPr>
          <w:p w14:paraId="6111A32E">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1</w:t>
            </w:r>
          </w:p>
        </w:tc>
        <w:tc>
          <w:tcPr>
            <w:tcW w:w="851" w:type="dxa"/>
            <w:tcBorders>
              <w:top w:val="nil"/>
              <w:left w:val="nil"/>
              <w:bottom w:val="single" w:color="auto" w:sz="4" w:space="0"/>
              <w:right w:val="single" w:color="auto" w:sz="4" w:space="0"/>
            </w:tcBorders>
            <w:shd w:val="clear" w:color="auto" w:fill="auto"/>
            <w:vAlign w:val="center"/>
          </w:tcPr>
          <w:p w14:paraId="7CAE0AC0">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220V本地供电</w:t>
            </w:r>
          </w:p>
        </w:tc>
        <w:tc>
          <w:tcPr>
            <w:tcW w:w="819" w:type="dxa"/>
            <w:tcBorders>
              <w:top w:val="nil"/>
              <w:left w:val="nil"/>
              <w:bottom w:val="single" w:color="auto" w:sz="4" w:space="0"/>
              <w:right w:val="single" w:color="auto" w:sz="4" w:space="0"/>
            </w:tcBorders>
            <w:shd w:val="clear" w:color="auto" w:fill="auto"/>
            <w:vAlign w:val="center"/>
          </w:tcPr>
          <w:p w14:paraId="3BDF6F4C">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600</w:t>
            </w:r>
          </w:p>
        </w:tc>
        <w:tc>
          <w:tcPr>
            <w:tcW w:w="821" w:type="dxa"/>
            <w:tcBorders>
              <w:top w:val="nil"/>
              <w:left w:val="nil"/>
              <w:bottom w:val="single" w:color="auto" w:sz="4" w:space="0"/>
              <w:right w:val="single" w:color="auto" w:sz="4" w:space="0"/>
            </w:tcBorders>
            <w:shd w:val="clear" w:color="auto" w:fill="auto"/>
            <w:vAlign w:val="center"/>
          </w:tcPr>
          <w:p w14:paraId="05BD80B8">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大坝两侧</w:t>
            </w:r>
          </w:p>
        </w:tc>
        <w:tc>
          <w:tcPr>
            <w:tcW w:w="709" w:type="dxa"/>
            <w:tcBorders>
              <w:top w:val="nil"/>
              <w:left w:val="nil"/>
              <w:bottom w:val="single" w:color="auto" w:sz="4" w:space="0"/>
              <w:right w:val="single" w:color="auto" w:sz="4" w:space="0"/>
            </w:tcBorders>
            <w:shd w:val="clear" w:color="auto" w:fill="auto"/>
            <w:vAlign w:val="center"/>
          </w:tcPr>
          <w:p w14:paraId="51FFB89B">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2</w:t>
            </w:r>
          </w:p>
        </w:tc>
        <w:tc>
          <w:tcPr>
            <w:tcW w:w="850" w:type="dxa"/>
            <w:tcBorders>
              <w:top w:val="nil"/>
              <w:left w:val="nil"/>
              <w:bottom w:val="single" w:color="auto" w:sz="4" w:space="0"/>
              <w:right w:val="single" w:color="auto" w:sz="4" w:space="0"/>
            </w:tcBorders>
            <w:shd w:val="clear" w:color="auto" w:fill="auto"/>
            <w:vAlign w:val="center"/>
          </w:tcPr>
          <w:p w14:paraId="5A5A0120">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220V本地供电</w:t>
            </w:r>
          </w:p>
        </w:tc>
        <w:tc>
          <w:tcPr>
            <w:tcW w:w="567" w:type="dxa"/>
            <w:tcBorders>
              <w:top w:val="nil"/>
              <w:left w:val="nil"/>
              <w:bottom w:val="single" w:color="auto" w:sz="4" w:space="0"/>
              <w:right w:val="single" w:color="auto" w:sz="4" w:space="0"/>
            </w:tcBorders>
            <w:shd w:val="clear" w:color="auto" w:fill="auto"/>
            <w:vAlign w:val="center"/>
          </w:tcPr>
          <w:p w14:paraId="49EA1B44">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800</w:t>
            </w:r>
          </w:p>
        </w:tc>
      </w:tr>
      <w:tr w14:paraId="484FC3BB">
        <w:tblPrEx>
          <w:tblCellMar>
            <w:top w:w="0" w:type="dxa"/>
            <w:left w:w="108" w:type="dxa"/>
            <w:bottom w:w="0" w:type="dxa"/>
            <w:right w:w="108" w:type="dxa"/>
          </w:tblCellMar>
        </w:tblPrEx>
        <w:trPr>
          <w:trHeight w:val="671" w:hRule="atLeast"/>
        </w:trPr>
        <w:tc>
          <w:tcPr>
            <w:tcW w:w="426" w:type="dxa"/>
            <w:tcBorders>
              <w:top w:val="nil"/>
              <w:left w:val="single" w:color="auto" w:sz="4" w:space="0"/>
              <w:bottom w:val="single" w:color="auto" w:sz="4" w:space="0"/>
              <w:right w:val="single" w:color="auto" w:sz="4" w:space="0"/>
            </w:tcBorders>
            <w:shd w:val="clear" w:color="auto" w:fill="auto"/>
            <w:vAlign w:val="center"/>
          </w:tcPr>
          <w:p w14:paraId="6136411D">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7</w:t>
            </w:r>
          </w:p>
        </w:tc>
        <w:tc>
          <w:tcPr>
            <w:tcW w:w="1336" w:type="dxa"/>
            <w:tcBorders>
              <w:top w:val="nil"/>
              <w:left w:val="nil"/>
              <w:bottom w:val="single" w:color="auto" w:sz="4" w:space="0"/>
              <w:right w:val="single" w:color="auto" w:sz="4" w:space="0"/>
            </w:tcBorders>
            <w:shd w:val="clear" w:color="auto" w:fill="auto"/>
            <w:vAlign w:val="center"/>
          </w:tcPr>
          <w:p w14:paraId="796CF309">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湟中区土门关乡香沟水库水源地</w:t>
            </w:r>
          </w:p>
        </w:tc>
        <w:tc>
          <w:tcPr>
            <w:tcW w:w="709" w:type="dxa"/>
            <w:tcBorders>
              <w:top w:val="nil"/>
              <w:left w:val="nil"/>
              <w:bottom w:val="single" w:color="auto" w:sz="4" w:space="0"/>
              <w:right w:val="single" w:color="auto" w:sz="4" w:space="0"/>
            </w:tcBorders>
            <w:shd w:val="clear" w:color="auto" w:fill="auto"/>
            <w:vAlign w:val="center"/>
          </w:tcPr>
          <w:p w14:paraId="63B4A9FC">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大坝就近取电</w:t>
            </w:r>
          </w:p>
        </w:tc>
        <w:tc>
          <w:tcPr>
            <w:tcW w:w="992" w:type="dxa"/>
            <w:tcBorders>
              <w:top w:val="nil"/>
              <w:left w:val="nil"/>
              <w:bottom w:val="single" w:color="auto" w:sz="4" w:space="0"/>
              <w:right w:val="single" w:color="auto" w:sz="4" w:space="0"/>
            </w:tcBorders>
            <w:shd w:val="clear" w:color="auto" w:fill="auto"/>
            <w:vAlign w:val="center"/>
          </w:tcPr>
          <w:p w14:paraId="24EA235B">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大坝东侧</w:t>
            </w:r>
          </w:p>
        </w:tc>
        <w:tc>
          <w:tcPr>
            <w:tcW w:w="709" w:type="dxa"/>
            <w:tcBorders>
              <w:top w:val="nil"/>
              <w:left w:val="nil"/>
              <w:bottom w:val="single" w:color="auto" w:sz="4" w:space="0"/>
              <w:right w:val="single" w:color="auto" w:sz="4" w:space="0"/>
            </w:tcBorders>
            <w:shd w:val="clear" w:color="auto" w:fill="auto"/>
            <w:vAlign w:val="center"/>
          </w:tcPr>
          <w:p w14:paraId="455B28BC">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1</w:t>
            </w:r>
          </w:p>
        </w:tc>
        <w:tc>
          <w:tcPr>
            <w:tcW w:w="851" w:type="dxa"/>
            <w:tcBorders>
              <w:top w:val="nil"/>
              <w:left w:val="nil"/>
              <w:bottom w:val="single" w:color="auto" w:sz="4" w:space="0"/>
              <w:right w:val="single" w:color="auto" w:sz="4" w:space="0"/>
            </w:tcBorders>
            <w:shd w:val="clear" w:color="auto" w:fill="auto"/>
            <w:vAlign w:val="center"/>
          </w:tcPr>
          <w:p w14:paraId="5536837F">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220V本地供电</w:t>
            </w:r>
          </w:p>
        </w:tc>
        <w:tc>
          <w:tcPr>
            <w:tcW w:w="819" w:type="dxa"/>
            <w:tcBorders>
              <w:top w:val="nil"/>
              <w:left w:val="nil"/>
              <w:bottom w:val="single" w:color="auto" w:sz="4" w:space="0"/>
              <w:right w:val="single" w:color="auto" w:sz="4" w:space="0"/>
            </w:tcBorders>
            <w:shd w:val="clear" w:color="auto" w:fill="auto"/>
            <w:vAlign w:val="center"/>
          </w:tcPr>
          <w:p w14:paraId="275F78C1">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200</w:t>
            </w:r>
          </w:p>
        </w:tc>
        <w:tc>
          <w:tcPr>
            <w:tcW w:w="821" w:type="dxa"/>
            <w:tcBorders>
              <w:top w:val="nil"/>
              <w:left w:val="nil"/>
              <w:bottom w:val="single" w:color="auto" w:sz="4" w:space="0"/>
              <w:right w:val="single" w:color="auto" w:sz="4" w:space="0"/>
            </w:tcBorders>
            <w:shd w:val="clear" w:color="auto" w:fill="auto"/>
            <w:vAlign w:val="center"/>
          </w:tcPr>
          <w:p w14:paraId="14A840E2">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大坝西侧</w:t>
            </w:r>
          </w:p>
        </w:tc>
        <w:tc>
          <w:tcPr>
            <w:tcW w:w="709" w:type="dxa"/>
            <w:tcBorders>
              <w:top w:val="nil"/>
              <w:left w:val="nil"/>
              <w:bottom w:val="single" w:color="auto" w:sz="4" w:space="0"/>
              <w:right w:val="single" w:color="auto" w:sz="4" w:space="0"/>
            </w:tcBorders>
            <w:shd w:val="clear" w:color="auto" w:fill="auto"/>
            <w:vAlign w:val="center"/>
          </w:tcPr>
          <w:p w14:paraId="15CDDD7E">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1</w:t>
            </w:r>
          </w:p>
        </w:tc>
        <w:tc>
          <w:tcPr>
            <w:tcW w:w="850" w:type="dxa"/>
            <w:tcBorders>
              <w:top w:val="nil"/>
              <w:left w:val="nil"/>
              <w:bottom w:val="single" w:color="auto" w:sz="4" w:space="0"/>
              <w:right w:val="single" w:color="auto" w:sz="4" w:space="0"/>
            </w:tcBorders>
            <w:shd w:val="clear" w:color="auto" w:fill="auto"/>
            <w:vAlign w:val="center"/>
          </w:tcPr>
          <w:p w14:paraId="15B6F7E1">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220V本地供电</w:t>
            </w:r>
          </w:p>
        </w:tc>
        <w:tc>
          <w:tcPr>
            <w:tcW w:w="567" w:type="dxa"/>
            <w:tcBorders>
              <w:top w:val="nil"/>
              <w:left w:val="nil"/>
              <w:bottom w:val="single" w:color="auto" w:sz="4" w:space="0"/>
              <w:right w:val="single" w:color="auto" w:sz="4" w:space="0"/>
            </w:tcBorders>
            <w:shd w:val="clear" w:color="auto" w:fill="auto"/>
            <w:vAlign w:val="center"/>
          </w:tcPr>
          <w:p w14:paraId="275022B2">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200</w:t>
            </w:r>
          </w:p>
        </w:tc>
      </w:tr>
      <w:tr w14:paraId="6E482CC6">
        <w:tblPrEx>
          <w:tblCellMar>
            <w:top w:w="0" w:type="dxa"/>
            <w:left w:w="108" w:type="dxa"/>
            <w:bottom w:w="0" w:type="dxa"/>
            <w:right w:w="108" w:type="dxa"/>
          </w:tblCellMar>
        </w:tblPrEx>
        <w:trPr>
          <w:trHeight w:val="671" w:hRule="atLeast"/>
        </w:trPr>
        <w:tc>
          <w:tcPr>
            <w:tcW w:w="426" w:type="dxa"/>
            <w:tcBorders>
              <w:top w:val="nil"/>
              <w:left w:val="single" w:color="auto" w:sz="4" w:space="0"/>
              <w:bottom w:val="single" w:color="auto" w:sz="4" w:space="0"/>
              <w:right w:val="single" w:color="auto" w:sz="4" w:space="0"/>
            </w:tcBorders>
            <w:shd w:val="clear" w:color="auto" w:fill="auto"/>
            <w:vAlign w:val="center"/>
          </w:tcPr>
          <w:p w14:paraId="3714B832">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8</w:t>
            </w:r>
          </w:p>
        </w:tc>
        <w:tc>
          <w:tcPr>
            <w:tcW w:w="1336" w:type="dxa"/>
            <w:tcBorders>
              <w:top w:val="nil"/>
              <w:left w:val="nil"/>
              <w:bottom w:val="single" w:color="auto" w:sz="4" w:space="0"/>
              <w:right w:val="single" w:color="auto" w:sz="4" w:space="0"/>
            </w:tcBorders>
            <w:shd w:val="clear" w:color="auto" w:fill="auto"/>
            <w:vAlign w:val="center"/>
          </w:tcPr>
          <w:p w14:paraId="30EB3925">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湟中区田家寨镇安宁沟水源地</w:t>
            </w:r>
          </w:p>
        </w:tc>
        <w:tc>
          <w:tcPr>
            <w:tcW w:w="709" w:type="dxa"/>
            <w:tcBorders>
              <w:top w:val="nil"/>
              <w:left w:val="nil"/>
              <w:bottom w:val="single" w:color="auto" w:sz="4" w:space="0"/>
              <w:right w:val="single" w:color="auto" w:sz="4" w:space="0"/>
            </w:tcBorders>
            <w:shd w:val="clear" w:color="auto" w:fill="auto"/>
            <w:vAlign w:val="center"/>
          </w:tcPr>
          <w:p w14:paraId="4AFC1842">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w:t>
            </w:r>
          </w:p>
        </w:tc>
        <w:tc>
          <w:tcPr>
            <w:tcW w:w="992" w:type="dxa"/>
            <w:tcBorders>
              <w:top w:val="nil"/>
              <w:left w:val="nil"/>
              <w:bottom w:val="single" w:color="auto" w:sz="4" w:space="0"/>
              <w:right w:val="single" w:color="auto" w:sz="4" w:space="0"/>
            </w:tcBorders>
            <w:shd w:val="clear" w:color="auto" w:fill="auto"/>
            <w:vAlign w:val="center"/>
          </w:tcPr>
          <w:p w14:paraId="443B7152">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w:t>
            </w:r>
          </w:p>
        </w:tc>
        <w:tc>
          <w:tcPr>
            <w:tcW w:w="709" w:type="dxa"/>
            <w:tcBorders>
              <w:top w:val="nil"/>
              <w:left w:val="nil"/>
              <w:bottom w:val="single" w:color="auto" w:sz="4" w:space="0"/>
              <w:right w:val="single" w:color="auto" w:sz="4" w:space="0"/>
            </w:tcBorders>
            <w:shd w:val="clear" w:color="auto" w:fill="auto"/>
            <w:vAlign w:val="center"/>
          </w:tcPr>
          <w:p w14:paraId="37772C5C">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0</w:t>
            </w:r>
          </w:p>
        </w:tc>
        <w:tc>
          <w:tcPr>
            <w:tcW w:w="851" w:type="dxa"/>
            <w:tcBorders>
              <w:top w:val="nil"/>
              <w:left w:val="nil"/>
              <w:bottom w:val="single" w:color="auto" w:sz="4" w:space="0"/>
              <w:right w:val="single" w:color="auto" w:sz="4" w:space="0"/>
            </w:tcBorders>
            <w:shd w:val="clear" w:color="auto" w:fill="auto"/>
            <w:vAlign w:val="center"/>
          </w:tcPr>
          <w:p w14:paraId="71ED8987">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w:t>
            </w:r>
          </w:p>
        </w:tc>
        <w:tc>
          <w:tcPr>
            <w:tcW w:w="819" w:type="dxa"/>
            <w:tcBorders>
              <w:top w:val="nil"/>
              <w:left w:val="nil"/>
              <w:bottom w:val="single" w:color="auto" w:sz="4" w:space="0"/>
              <w:right w:val="single" w:color="auto" w:sz="4" w:space="0"/>
            </w:tcBorders>
            <w:shd w:val="clear" w:color="auto" w:fill="auto"/>
            <w:vAlign w:val="center"/>
          </w:tcPr>
          <w:p w14:paraId="40C20484">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0</w:t>
            </w:r>
          </w:p>
        </w:tc>
        <w:tc>
          <w:tcPr>
            <w:tcW w:w="821" w:type="dxa"/>
            <w:tcBorders>
              <w:top w:val="nil"/>
              <w:left w:val="nil"/>
              <w:bottom w:val="single" w:color="auto" w:sz="4" w:space="0"/>
              <w:right w:val="single" w:color="auto" w:sz="4" w:space="0"/>
            </w:tcBorders>
            <w:shd w:val="clear" w:color="auto" w:fill="auto"/>
            <w:vAlign w:val="center"/>
          </w:tcPr>
          <w:p w14:paraId="6E341B2F">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w:t>
            </w:r>
          </w:p>
        </w:tc>
        <w:tc>
          <w:tcPr>
            <w:tcW w:w="709" w:type="dxa"/>
            <w:tcBorders>
              <w:top w:val="nil"/>
              <w:left w:val="nil"/>
              <w:bottom w:val="single" w:color="auto" w:sz="4" w:space="0"/>
              <w:right w:val="single" w:color="auto" w:sz="4" w:space="0"/>
            </w:tcBorders>
            <w:shd w:val="clear" w:color="auto" w:fill="auto"/>
            <w:vAlign w:val="center"/>
          </w:tcPr>
          <w:p w14:paraId="6003D51B">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0</w:t>
            </w:r>
          </w:p>
        </w:tc>
        <w:tc>
          <w:tcPr>
            <w:tcW w:w="850" w:type="dxa"/>
            <w:tcBorders>
              <w:top w:val="nil"/>
              <w:left w:val="nil"/>
              <w:bottom w:val="single" w:color="auto" w:sz="4" w:space="0"/>
              <w:right w:val="single" w:color="auto" w:sz="4" w:space="0"/>
            </w:tcBorders>
            <w:shd w:val="clear" w:color="auto" w:fill="auto"/>
            <w:vAlign w:val="center"/>
          </w:tcPr>
          <w:p w14:paraId="0E13508B">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w:t>
            </w:r>
          </w:p>
        </w:tc>
        <w:tc>
          <w:tcPr>
            <w:tcW w:w="567" w:type="dxa"/>
            <w:tcBorders>
              <w:top w:val="nil"/>
              <w:left w:val="nil"/>
              <w:bottom w:val="single" w:color="auto" w:sz="4" w:space="0"/>
              <w:right w:val="single" w:color="auto" w:sz="4" w:space="0"/>
            </w:tcBorders>
            <w:shd w:val="clear" w:color="auto" w:fill="auto"/>
            <w:vAlign w:val="center"/>
          </w:tcPr>
          <w:p w14:paraId="16058EE9">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0</w:t>
            </w:r>
          </w:p>
        </w:tc>
      </w:tr>
      <w:tr w14:paraId="14B58D0D">
        <w:tblPrEx>
          <w:tblCellMar>
            <w:top w:w="0" w:type="dxa"/>
            <w:left w:w="108" w:type="dxa"/>
            <w:bottom w:w="0" w:type="dxa"/>
            <w:right w:w="108" w:type="dxa"/>
          </w:tblCellMar>
        </w:tblPrEx>
        <w:trPr>
          <w:trHeight w:val="671" w:hRule="atLeast"/>
        </w:trPr>
        <w:tc>
          <w:tcPr>
            <w:tcW w:w="426" w:type="dxa"/>
            <w:tcBorders>
              <w:top w:val="nil"/>
              <w:left w:val="single" w:color="auto" w:sz="4" w:space="0"/>
              <w:bottom w:val="single" w:color="auto" w:sz="4" w:space="0"/>
              <w:right w:val="single" w:color="auto" w:sz="4" w:space="0"/>
            </w:tcBorders>
            <w:shd w:val="clear" w:color="auto" w:fill="auto"/>
            <w:vAlign w:val="center"/>
          </w:tcPr>
          <w:p w14:paraId="61EAA79B">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9</w:t>
            </w:r>
          </w:p>
        </w:tc>
        <w:tc>
          <w:tcPr>
            <w:tcW w:w="1336" w:type="dxa"/>
            <w:tcBorders>
              <w:top w:val="nil"/>
              <w:left w:val="nil"/>
              <w:bottom w:val="single" w:color="auto" w:sz="4" w:space="0"/>
              <w:right w:val="single" w:color="auto" w:sz="4" w:space="0"/>
            </w:tcBorders>
            <w:shd w:val="clear" w:color="auto" w:fill="auto"/>
            <w:vAlign w:val="center"/>
          </w:tcPr>
          <w:p w14:paraId="022CD2EF">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湟中区共和镇盘道东岔水源地</w:t>
            </w:r>
          </w:p>
        </w:tc>
        <w:tc>
          <w:tcPr>
            <w:tcW w:w="709" w:type="dxa"/>
            <w:tcBorders>
              <w:top w:val="nil"/>
              <w:left w:val="nil"/>
              <w:bottom w:val="single" w:color="auto" w:sz="4" w:space="0"/>
              <w:right w:val="single" w:color="auto" w:sz="4" w:space="0"/>
            </w:tcBorders>
            <w:shd w:val="clear" w:color="auto" w:fill="auto"/>
            <w:vAlign w:val="center"/>
          </w:tcPr>
          <w:p w14:paraId="0CA4C457">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设备房取电</w:t>
            </w:r>
          </w:p>
        </w:tc>
        <w:tc>
          <w:tcPr>
            <w:tcW w:w="992" w:type="dxa"/>
            <w:tcBorders>
              <w:top w:val="nil"/>
              <w:left w:val="nil"/>
              <w:bottom w:val="single" w:color="auto" w:sz="4" w:space="0"/>
              <w:right w:val="single" w:color="auto" w:sz="4" w:space="0"/>
            </w:tcBorders>
            <w:shd w:val="clear" w:color="auto" w:fill="auto"/>
            <w:vAlign w:val="center"/>
          </w:tcPr>
          <w:p w14:paraId="280CE2D9">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沉淀池设备房旁边</w:t>
            </w:r>
          </w:p>
        </w:tc>
        <w:tc>
          <w:tcPr>
            <w:tcW w:w="709" w:type="dxa"/>
            <w:tcBorders>
              <w:top w:val="nil"/>
              <w:left w:val="nil"/>
              <w:bottom w:val="single" w:color="auto" w:sz="4" w:space="0"/>
              <w:right w:val="single" w:color="auto" w:sz="4" w:space="0"/>
            </w:tcBorders>
            <w:shd w:val="clear" w:color="auto" w:fill="auto"/>
            <w:vAlign w:val="center"/>
          </w:tcPr>
          <w:p w14:paraId="116773DF">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1</w:t>
            </w:r>
          </w:p>
        </w:tc>
        <w:tc>
          <w:tcPr>
            <w:tcW w:w="851" w:type="dxa"/>
            <w:tcBorders>
              <w:top w:val="nil"/>
              <w:left w:val="nil"/>
              <w:bottom w:val="single" w:color="auto" w:sz="4" w:space="0"/>
              <w:right w:val="single" w:color="auto" w:sz="4" w:space="0"/>
            </w:tcBorders>
            <w:shd w:val="clear" w:color="auto" w:fill="auto"/>
            <w:vAlign w:val="center"/>
          </w:tcPr>
          <w:p w14:paraId="48D4DC75">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220V本地供电</w:t>
            </w:r>
          </w:p>
        </w:tc>
        <w:tc>
          <w:tcPr>
            <w:tcW w:w="819" w:type="dxa"/>
            <w:tcBorders>
              <w:top w:val="nil"/>
              <w:left w:val="nil"/>
              <w:bottom w:val="single" w:color="auto" w:sz="4" w:space="0"/>
              <w:right w:val="single" w:color="auto" w:sz="4" w:space="0"/>
            </w:tcBorders>
            <w:shd w:val="clear" w:color="auto" w:fill="auto"/>
            <w:vAlign w:val="center"/>
          </w:tcPr>
          <w:p w14:paraId="291A5DAB">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900</w:t>
            </w:r>
          </w:p>
        </w:tc>
        <w:tc>
          <w:tcPr>
            <w:tcW w:w="821" w:type="dxa"/>
            <w:tcBorders>
              <w:top w:val="nil"/>
              <w:left w:val="nil"/>
              <w:bottom w:val="single" w:color="auto" w:sz="4" w:space="0"/>
              <w:right w:val="single" w:color="auto" w:sz="4" w:space="0"/>
            </w:tcBorders>
            <w:shd w:val="clear" w:color="auto" w:fill="auto"/>
            <w:vAlign w:val="center"/>
          </w:tcPr>
          <w:p w14:paraId="73882D27">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水源地取水口</w:t>
            </w:r>
          </w:p>
        </w:tc>
        <w:tc>
          <w:tcPr>
            <w:tcW w:w="709" w:type="dxa"/>
            <w:tcBorders>
              <w:top w:val="nil"/>
              <w:left w:val="nil"/>
              <w:bottom w:val="single" w:color="auto" w:sz="4" w:space="0"/>
              <w:right w:val="single" w:color="auto" w:sz="4" w:space="0"/>
            </w:tcBorders>
            <w:shd w:val="clear" w:color="auto" w:fill="auto"/>
            <w:vAlign w:val="center"/>
          </w:tcPr>
          <w:p w14:paraId="4A392EAC">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1</w:t>
            </w:r>
          </w:p>
        </w:tc>
        <w:tc>
          <w:tcPr>
            <w:tcW w:w="850" w:type="dxa"/>
            <w:tcBorders>
              <w:top w:val="nil"/>
              <w:left w:val="nil"/>
              <w:bottom w:val="single" w:color="auto" w:sz="4" w:space="0"/>
              <w:right w:val="single" w:color="auto" w:sz="4" w:space="0"/>
            </w:tcBorders>
            <w:shd w:val="clear" w:color="auto" w:fill="auto"/>
            <w:vAlign w:val="center"/>
          </w:tcPr>
          <w:p w14:paraId="0EC05FEB">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220V本地供电</w:t>
            </w:r>
          </w:p>
        </w:tc>
        <w:tc>
          <w:tcPr>
            <w:tcW w:w="567" w:type="dxa"/>
            <w:tcBorders>
              <w:top w:val="nil"/>
              <w:left w:val="nil"/>
              <w:bottom w:val="single" w:color="auto" w:sz="4" w:space="0"/>
              <w:right w:val="single" w:color="auto" w:sz="4" w:space="0"/>
            </w:tcBorders>
            <w:shd w:val="clear" w:color="auto" w:fill="auto"/>
            <w:vAlign w:val="center"/>
          </w:tcPr>
          <w:p w14:paraId="052C6F46">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1100</w:t>
            </w:r>
          </w:p>
        </w:tc>
      </w:tr>
      <w:tr w14:paraId="6F4CAB6E">
        <w:tblPrEx>
          <w:tblCellMar>
            <w:top w:w="0" w:type="dxa"/>
            <w:left w:w="108" w:type="dxa"/>
            <w:bottom w:w="0" w:type="dxa"/>
            <w:right w:w="108" w:type="dxa"/>
          </w:tblCellMar>
        </w:tblPrEx>
        <w:trPr>
          <w:trHeight w:val="671" w:hRule="atLeast"/>
        </w:trPr>
        <w:tc>
          <w:tcPr>
            <w:tcW w:w="426" w:type="dxa"/>
            <w:tcBorders>
              <w:top w:val="nil"/>
              <w:left w:val="single" w:color="auto" w:sz="4" w:space="0"/>
              <w:bottom w:val="single" w:color="auto" w:sz="4" w:space="0"/>
              <w:right w:val="single" w:color="auto" w:sz="4" w:space="0"/>
            </w:tcBorders>
            <w:shd w:val="clear" w:color="auto" w:fill="auto"/>
            <w:vAlign w:val="center"/>
          </w:tcPr>
          <w:p w14:paraId="13F0DD2E">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10</w:t>
            </w:r>
          </w:p>
        </w:tc>
        <w:tc>
          <w:tcPr>
            <w:tcW w:w="1336" w:type="dxa"/>
            <w:tcBorders>
              <w:top w:val="nil"/>
              <w:left w:val="nil"/>
              <w:bottom w:val="single" w:color="auto" w:sz="4" w:space="0"/>
              <w:right w:val="single" w:color="auto" w:sz="4" w:space="0"/>
            </w:tcBorders>
            <w:shd w:val="clear" w:color="auto" w:fill="auto"/>
            <w:vAlign w:val="center"/>
          </w:tcPr>
          <w:p w14:paraId="1A61DCB2">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湟中区南朔山水源地</w:t>
            </w:r>
          </w:p>
        </w:tc>
        <w:tc>
          <w:tcPr>
            <w:tcW w:w="709" w:type="dxa"/>
            <w:tcBorders>
              <w:top w:val="nil"/>
              <w:left w:val="nil"/>
              <w:bottom w:val="single" w:color="auto" w:sz="4" w:space="0"/>
              <w:right w:val="single" w:color="auto" w:sz="4" w:space="0"/>
            </w:tcBorders>
            <w:shd w:val="clear" w:color="auto" w:fill="auto"/>
            <w:vAlign w:val="center"/>
          </w:tcPr>
          <w:p w14:paraId="375C47DF">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设备房取电</w:t>
            </w:r>
          </w:p>
        </w:tc>
        <w:tc>
          <w:tcPr>
            <w:tcW w:w="992" w:type="dxa"/>
            <w:tcBorders>
              <w:top w:val="nil"/>
              <w:left w:val="nil"/>
              <w:bottom w:val="single" w:color="auto" w:sz="4" w:space="0"/>
              <w:right w:val="single" w:color="auto" w:sz="4" w:space="0"/>
            </w:tcBorders>
            <w:shd w:val="clear" w:color="auto" w:fill="auto"/>
            <w:vAlign w:val="center"/>
          </w:tcPr>
          <w:p w14:paraId="6A3DFA1F">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沉淀池设备房旁边</w:t>
            </w:r>
          </w:p>
        </w:tc>
        <w:tc>
          <w:tcPr>
            <w:tcW w:w="709" w:type="dxa"/>
            <w:tcBorders>
              <w:top w:val="nil"/>
              <w:left w:val="nil"/>
              <w:bottom w:val="single" w:color="auto" w:sz="4" w:space="0"/>
              <w:right w:val="single" w:color="auto" w:sz="4" w:space="0"/>
            </w:tcBorders>
            <w:shd w:val="clear" w:color="auto" w:fill="auto"/>
            <w:vAlign w:val="center"/>
          </w:tcPr>
          <w:p w14:paraId="66B1555F">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1</w:t>
            </w:r>
          </w:p>
        </w:tc>
        <w:tc>
          <w:tcPr>
            <w:tcW w:w="851" w:type="dxa"/>
            <w:tcBorders>
              <w:top w:val="nil"/>
              <w:left w:val="nil"/>
              <w:bottom w:val="single" w:color="auto" w:sz="4" w:space="0"/>
              <w:right w:val="single" w:color="auto" w:sz="4" w:space="0"/>
            </w:tcBorders>
            <w:shd w:val="clear" w:color="auto" w:fill="auto"/>
            <w:vAlign w:val="center"/>
          </w:tcPr>
          <w:p w14:paraId="3C24FCBF">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220V本地供电</w:t>
            </w:r>
          </w:p>
        </w:tc>
        <w:tc>
          <w:tcPr>
            <w:tcW w:w="819" w:type="dxa"/>
            <w:tcBorders>
              <w:top w:val="nil"/>
              <w:left w:val="nil"/>
              <w:bottom w:val="single" w:color="auto" w:sz="4" w:space="0"/>
              <w:right w:val="single" w:color="auto" w:sz="4" w:space="0"/>
            </w:tcBorders>
            <w:shd w:val="clear" w:color="auto" w:fill="auto"/>
            <w:vAlign w:val="center"/>
          </w:tcPr>
          <w:p w14:paraId="7201000E">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300</w:t>
            </w:r>
          </w:p>
        </w:tc>
        <w:tc>
          <w:tcPr>
            <w:tcW w:w="821" w:type="dxa"/>
            <w:tcBorders>
              <w:top w:val="nil"/>
              <w:left w:val="nil"/>
              <w:bottom w:val="single" w:color="auto" w:sz="4" w:space="0"/>
              <w:right w:val="single" w:color="auto" w:sz="4" w:space="0"/>
            </w:tcBorders>
            <w:shd w:val="clear" w:color="auto" w:fill="auto"/>
            <w:vAlign w:val="center"/>
          </w:tcPr>
          <w:p w14:paraId="2B6BFCAB">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水源地取水口</w:t>
            </w:r>
          </w:p>
        </w:tc>
        <w:tc>
          <w:tcPr>
            <w:tcW w:w="709" w:type="dxa"/>
            <w:tcBorders>
              <w:top w:val="nil"/>
              <w:left w:val="nil"/>
              <w:bottom w:val="single" w:color="auto" w:sz="4" w:space="0"/>
              <w:right w:val="single" w:color="auto" w:sz="4" w:space="0"/>
            </w:tcBorders>
            <w:shd w:val="clear" w:color="auto" w:fill="auto"/>
            <w:vAlign w:val="center"/>
          </w:tcPr>
          <w:p w14:paraId="68C8EF08">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1</w:t>
            </w:r>
          </w:p>
        </w:tc>
        <w:tc>
          <w:tcPr>
            <w:tcW w:w="850" w:type="dxa"/>
            <w:tcBorders>
              <w:top w:val="nil"/>
              <w:left w:val="nil"/>
              <w:bottom w:val="single" w:color="auto" w:sz="4" w:space="0"/>
              <w:right w:val="single" w:color="auto" w:sz="4" w:space="0"/>
            </w:tcBorders>
            <w:shd w:val="clear" w:color="auto" w:fill="auto"/>
            <w:vAlign w:val="center"/>
          </w:tcPr>
          <w:p w14:paraId="7F86E79C">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220V本地供电</w:t>
            </w:r>
          </w:p>
        </w:tc>
        <w:tc>
          <w:tcPr>
            <w:tcW w:w="567" w:type="dxa"/>
            <w:tcBorders>
              <w:top w:val="nil"/>
              <w:left w:val="nil"/>
              <w:bottom w:val="single" w:color="auto" w:sz="4" w:space="0"/>
              <w:right w:val="single" w:color="auto" w:sz="4" w:space="0"/>
            </w:tcBorders>
            <w:shd w:val="clear" w:color="auto" w:fill="auto"/>
            <w:vAlign w:val="center"/>
          </w:tcPr>
          <w:p w14:paraId="7570467A">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200</w:t>
            </w:r>
          </w:p>
        </w:tc>
      </w:tr>
      <w:tr w14:paraId="10F7A4AD">
        <w:tblPrEx>
          <w:tblCellMar>
            <w:top w:w="0" w:type="dxa"/>
            <w:left w:w="108" w:type="dxa"/>
            <w:bottom w:w="0" w:type="dxa"/>
            <w:right w:w="108" w:type="dxa"/>
          </w:tblCellMar>
        </w:tblPrEx>
        <w:trPr>
          <w:trHeight w:val="671" w:hRule="atLeast"/>
        </w:trPr>
        <w:tc>
          <w:tcPr>
            <w:tcW w:w="426" w:type="dxa"/>
            <w:tcBorders>
              <w:top w:val="nil"/>
              <w:left w:val="single" w:color="auto" w:sz="4" w:space="0"/>
              <w:bottom w:val="single" w:color="auto" w:sz="4" w:space="0"/>
              <w:right w:val="single" w:color="auto" w:sz="4" w:space="0"/>
            </w:tcBorders>
            <w:shd w:val="clear" w:color="auto" w:fill="auto"/>
            <w:vAlign w:val="center"/>
          </w:tcPr>
          <w:p w14:paraId="6B599790">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11</w:t>
            </w:r>
          </w:p>
        </w:tc>
        <w:tc>
          <w:tcPr>
            <w:tcW w:w="1336" w:type="dxa"/>
            <w:tcBorders>
              <w:top w:val="nil"/>
              <w:left w:val="nil"/>
              <w:bottom w:val="single" w:color="auto" w:sz="4" w:space="0"/>
              <w:right w:val="single" w:color="auto" w:sz="4" w:space="0"/>
            </w:tcBorders>
            <w:shd w:val="clear" w:color="auto" w:fill="auto"/>
            <w:vAlign w:val="center"/>
          </w:tcPr>
          <w:p w14:paraId="67187236">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湟中区拉尔贯水源地</w:t>
            </w:r>
          </w:p>
        </w:tc>
        <w:tc>
          <w:tcPr>
            <w:tcW w:w="709" w:type="dxa"/>
            <w:tcBorders>
              <w:top w:val="nil"/>
              <w:left w:val="nil"/>
              <w:bottom w:val="single" w:color="auto" w:sz="4" w:space="0"/>
              <w:right w:val="single" w:color="auto" w:sz="4" w:space="0"/>
            </w:tcBorders>
            <w:shd w:val="clear" w:color="auto" w:fill="auto"/>
            <w:vAlign w:val="center"/>
          </w:tcPr>
          <w:p w14:paraId="2FE2680C">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设备房取电</w:t>
            </w:r>
          </w:p>
        </w:tc>
        <w:tc>
          <w:tcPr>
            <w:tcW w:w="992" w:type="dxa"/>
            <w:tcBorders>
              <w:top w:val="nil"/>
              <w:left w:val="nil"/>
              <w:bottom w:val="single" w:color="auto" w:sz="4" w:space="0"/>
              <w:right w:val="single" w:color="auto" w:sz="4" w:space="0"/>
            </w:tcBorders>
            <w:shd w:val="clear" w:color="auto" w:fill="auto"/>
            <w:vAlign w:val="center"/>
          </w:tcPr>
          <w:p w14:paraId="1BBE5374">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沉淀池进水口</w:t>
            </w:r>
          </w:p>
        </w:tc>
        <w:tc>
          <w:tcPr>
            <w:tcW w:w="709" w:type="dxa"/>
            <w:tcBorders>
              <w:top w:val="nil"/>
              <w:left w:val="nil"/>
              <w:bottom w:val="single" w:color="auto" w:sz="4" w:space="0"/>
              <w:right w:val="single" w:color="auto" w:sz="4" w:space="0"/>
            </w:tcBorders>
            <w:shd w:val="clear" w:color="auto" w:fill="auto"/>
            <w:vAlign w:val="center"/>
          </w:tcPr>
          <w:p w14:paraId="6F943A5E">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1</w:t>
            </w:r>
          </w:p>
        </w:tc>
        <w:tc>
          <w:tcPr>
            <w:tcW w:w="851" w:type="dxa"/>
            <w:tcBorders>
              <w:top w:val="nil"/>
              <w:left w:val="nil"/>
              <w:bottom w:val="single" w:color="auto" w:sz="4" w:space="0"/>
              <w:right w:val="single" w:color="auto" w:sz="4" w:space="0"/>
            </w:tcBorders>
            <w:shd w:val="clear" w:color="auto" w:fill="auto"/>
            <w:vAlign w:val="center"/>
          </w:tcPr>
          <w:p w14:paraId="24900EF4">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220V本地供电</w:t>
            </w:r>
          </w:p>
        </w:tc>
        <w:tc>
          <w:tcPr>
            <w:tcW w:w="819" w:type="dxa"/>
            <w:tcBorders>
              <w:top w:val="nil"/>
              <w:left w:val="nil"/>
              <w:bottom w:val="single" w:color="auto" w:sz="4" w:space="0"/>
              <w:right w:val="single" w:color="auto" w:sz="4" w:space="0"/>
            </w:tcBorders>
            <w:shd w:val="clear" w:color="auto" w:fill="auto"/>
            <w:vAlign w:val="center"/>
          </w:tcPr>
          <w:p w14:paraId="459A6235">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400</w:t>
            </w:r>
          </w:p>
        </w:tc>
        <w:tc>
          <w:tcPr>
            <w:tcW w:w="821" w:type="dxa"/>
            <w:tcBorders>
              <w:top w:val="nil"/>
              <w:left w:val="nil"/>
              <w:bottom w:val="single" w:color="auto" w:sz="4" w:space="0"/>
              <w:right w:val="single" w:color="auto" w:sz="4" w:space="0"/>
            </w:tcBorders>
            <w:shd w:val="clear" w:color="auto" w:fill="auto"/>
            <w:vAlign w:val="center"/>
          </w:tcPr>
          <w:p w14:paraId="4EB6749A">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水源地取水口</w:t>
            </w:r>
          </w:p>
        </w:tc>
        <w:tc>
          <w:tcPr>
            <w:tcW w:w="709" w:type="dxa"/>
            <w:tcBorders>
              <w:top w:val="nil"/>
              <w:left w:val="nil"/>
              <w:bottom w:val="single" w:color="auto" w:sz="4" w:space="0"/>
              <w:right w:val="single" w:color="auto" w:sz="4" w:space="0"/>
            </w:tcBorders>
            <w:shd w:val="clear" w:color="auto" w:fill="auto"/>
            <w:vAlign w:val="center"/>
          </w:tcPr>
          <w:p w14:paraId="48A4209F">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1</w:t>
            </w:r>
          </w:p>
        </w:tc>
        <w:tc>
          <w:tcPr>
            <w:tcW w:w="850" w:type="dxa"/>
            <w:tcBorders>
              <w:top w:val="nil"/>
              <w:left w:val="nil"/>
              <w:bottom w:val="single" w:color="auto" w:sz="4" w:space="0"/>
              <w:right w:val="single" w:color="auto" w:sz="4" w:space="0"/>
            </w:tcBorders>
            <w:shd w:val="clear" w:color="auto" w:fill="auto"/>
            <w:vAlign w:val="center"/>
          </w:tcPr>
          <w:p w14:paraId="5B844415">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220V本地供电</w:t>
            </w:r>
          </w:p>
        </w:tc>
        <w:tc>
          <w:tcPr>
            <w:tcW w:w="567" w:type="dxa"/>
            <w:tcBorders>
              <w:top w:val="nil"/>
              <w:left w:val="nil"/>
              <w:bottom w:val="single" w:color="auto" w:sz="4" w:space="0"/>
              <w:right w:val="single" w:color="auto" w:sz="4" w:space="0"/>
            </w:tcBorders>
            <w:shd w:val="clear" w:color="auto" w:fill="auto"/>
            <w:vAlign w:val="center"/>
          </w:tcPr>
          <w:p w14:paraId="7C34CF0A">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200</w:t>
            </w:r>
          </w:p>
        </w:tc>
      </w:tr>
      <w:tr w14:paraId="1A657985">
        <w:tblPrEx>
          <w:tblCellMar>
            <w:top w:w="0" w:type="dxa"/>
            <w:left w:w="108" w:type="dxa"/>
            <w:bottom w:w="0" w:type="dxa"/>
            <w:right w:w="108" w:type="dxa"/>
          </w:tblCellMar>
        </w:tblPrEx>
        <w:trPr>
          <w:trHeight w:val="969" w:hRule="atLeast"/>
        </w:trPr>
        <w:tc>
          <w:tcPr>
            <w:tcW w:w="426" w:type="dxa"/>
            <w:tcBorders>
              <w:top w:val="nil"/>
              <w:left w:val="single" w:color="auto" w:sz="4" w:space="0"/>
              <w:bottom w:val="single" w:color="auto" w:sz="4" w:space="0"/>
              <w:right w:val="single" w:color="auto" w:sz="4" w:space="0"/>
            </w:tcBorders>
            <w:shd w:val="clear" w:color="auto" w:fill="auto"/>
            <w:vAlign w:val="center"/>
          </w:tcPr>
          <w:p w14:paraId="07754603">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12</w:t>
            </w:r>
          </w:p>
        </w:tc>
        <w:tc>
          <w:tcPr>
            <w:tcW w:w="1336" w:type="dxa"/>
            <w:tcBorders>
              <w:top w:val="nil"/>
              <w:left w:val="nil"/>
              <w:bottom w:val="single" w:color="auto" w:sz="4" w:space="0"/>
              <w:right w:val="single" w:color="auto" w:sz="4" w:space="0"/>
            </w:tcBorders>
            <w:shd w:val="clear" w:color="auto" w:fill="auto"/>
            <w:vAlign w:val="center"/>
          </w:tcPr>
          <w:p w14:paraId="390B874E">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湟中区盘道水库水源地</w:t>
            </w:r>
          </w:p>
        </w:tc>
        <w:tc>
          <w:tcPr>
            <w:tcW w:w="709" w:type="dxa"/>
            <w:tcBorders>
              <w:top w:val="nil"/>
              <w:left w:val="nil"/>
              <w:bottom w:val="single" w:color="auto" w:sz="4" w:space="0"/>
              <w:right w:val="single" w:color="auto" w:sz="4" w:space="0"/>
            </w:tcBorders>
            <w:shd w:val="clear" w:color="auto" w:fill="auto"/>
            <w:vAlign w:val="center"/>
          </w:tcPr>
          <w:p w14:paraId="0A52873E">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大坝就近取电</w:t>
            </w:r>
          </w:p>
        </w:tc>
        <w:tc>
          <w:tcPr>
            <w:tcW w:w="992" w:type="dxa"/>
            <w:tcBorders>
              <w:top w:val="nil"/>
              <w:left w:val="nil"/>
              <w:bottom w:val="single" w:color="auto" w:sz="4" w:space="0"/>
              <w:right w:val="single" w:color="auto" w:sz="4" w:space="0"/>
            </w:tcBorders>
            <w:shd w:val="clear" w:color="auto" w:fill="auto"/>
            <w:vAlign w:val="center"/>
          </w:tcPr>
          <w:p w14:paraId="1B1B0914">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水源地取水口、大坝附近</w:t>
            </w:r>
          </w:p>
        </w:tc>
        <w:tc>
          <w:tcPr>
            <w:tcW w:w="709" w:type="dxa"/>
            <w:tcBorders>
              <w:top w:val="nil"/>
              <w:left w:val="nil"/>
              <w:bottom w:val="single" w:color="auto" w:sz="4" w:space="0"/>
              <w:right w:val="single" w:color="auto" w:sz="4" w:space="0"/>
            </w:tcBorders>
            <w:shd w:val="clear" w:color="auto" w:fill="auto"/>
            <w:vAlign w:val="center"/>
          </w:tcPr>
          <w:p w14:paraId="7737F68A">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2</w:t>
            </w:r>
          </w:p>
        </w:tc>
        <w:tc>
          <w:tcPr>
            <w:tcW w:w="851" w:type="dxa"/>
            <w:tcBorders>
              <w:top w:val="nil"/>
              <w:left w:val="nil"/>
              <w:bottom w:val="single" w:color="auto" w:sz="4" w:space="0"/>
              <w:right w:val="single" w:color="auto" w:sz="4" w:space="0"/>
            </w:tcBorders>
            <w:shd w:val="clear" w:color="auto" w:fill="auto"/>
            <w:vAlign w:val="center"/>
          </w:tcPr>
          <w:p w14:paraId="38FA07C4">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220V本地供电</w:t>
            </w:r>
          </w:p>
        </w:tc>
        <w:tc>
          <w:tcPr>
            <w:tcW w:w="819" w:type="dxa"/>
            <w:tcBorders>
              <w:top w:val="nil"/>
              <w:left w:val="nil"/>
              <w:bottom w:val="single" w:color="auto" w:sz="4" w:space="0"/>
              <w:right w:val="single" w:color="auto" w:sz="4" w:space="0"/>
            </w:tcBorders>
            <w:shd w:val="clear" w:color="auto" w:fill="auto"/>
            <w:vAlign w:val="center"/>
          </w:tcPr>
          <w:p w14:paraId="6B08B8F3">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500</w:t>
            </w:r>
          </w:p>
        </w:tc>
        <w:tc>
          <w:tcPr>
            <w:tcW w:w="821" w:type="dxa"/>
            <w:tcBorders>
              <w:top w:val="nil"/>
              <w:left w:val="nil"/>
              <w:bottom w:val="single" w:color="auto" w:sz="4" w:space="0"/>
              <w:right w:val="single" w:color="auto" w:sz="4" w:space="0"/>
            </w:tcBorders>
            <w:shd w:val="clear" w:color="auto" w:fill="auto"/>
            <w:vAlign w:val="center"/>
          </w:tcPr>
          <w:p w14:paraId="48AC3ECF">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水源地取水口2套、水源地上游1套</w:t>
            </w:r>
          </w:p>
        </w:tc>
        <w:tc>
          <w:tcPr>
            <w:tcW w:w="709" w:type="dxa"/>
            <w:tcBorders>
              <w:top w:val="nil"/>
              <w:left w:val="nil"/>
              <w:bottom w:val="single" w:color="auto" w:sz="4" w:space="0"/>
              <w:right w:val="single" w:color="auto" w:sz="4" w:space="0"/>
            </w:tcBorders>
            <w:shd w:val="clear" w:color="auto" w:fill="auto"/>
            <w:vAlign w:val="center"/>
          </w:tcPr>
          <w:p w14:paraId="12F260D8">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3</w:t>
            </w:r>
          </w:p>
        </w:tc>
        <w:tc>
          <w:tcPr>
            <w:tcW w:w="850" w:type="dxa"/>
            <w:tcBorders>
              <w:top w:val="nil"/>
              <w:left w:val="nil"/>
              <w:bottom w:val="single" w:color="auto" w:sz="4" w:space="0"/>
              <w:right w:val="single" w:color="auto" w:sz="4" w:space="0"/>
            </w:tcBorders>
            <w:shd w:val="clear" w:color="auto" w:fill="auto"/>
            <w:vAlign w:val="center"/>
          </w:tcPr>
          <w:p w14:paraId="777A098B">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220V本地供电</w:t>
            </w:r>
          </w:p>
        </w:tc>
        <w:tc>
          <w:tcPr>
            <w:tcW w:w="567" w:type="dxa"/>
            <w:tcBorders>
              <w:top w:val="nil"/>
              <w:left w:val="nil"/>
              <w:bottom w:val="single" w:color="auto" w:sz="4" w:space="0"/>
              <w:right w:val="single" w:color="auto" w:sz="4" w:space="0"/>
            </w:tcBorders>
            <w:shd w:val="clear" w:color="auto" w:fill="auto"/>
            <w:vAlign w:val="center"/>
          </w:tcPr>
          <w:p w14:paraId="1FCD19DA">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700</w:t>
            </w:r>
          </w:p>
        </w:tc>
      </w:tr>
      <w:tr w14:paraId="45B1F165">
        <w:tblPrEx>
          <w:tblCellMar>
            <w:top w:w="0" w:type="dxa"/>
            <w:left w:w="108" w:type="dxa"/>
            <w:bottom w:w="0" w:type="dxa"/>
            <w:right w:w="108" w:type="dxa"/>
          </w:tblCellMar>
        </w:tblPrEx>
        <w:trPr>
          <w:trHeight w:val="671" w:hRule="atLeast"/>
        </w:trPr>
        <w:tc>
          <w:tcPr>
            <w:tcW w:w="426" w:type="dxa"/>
            <w:tcBorders>
              <w:top w:val="nil"/>
              <w:left w:val="single" w:color="auto" w:sz="4" w:space="0"/>
              <w:bottom w:val="single" w:color="auto" w:sz="4" w:space="0"/>
              <w:right w:val="single" w:color="auto" w:sz="4" w:space="0"/>
            </w:tcBorders>
            <w:shd w:val="clear" w:color="auto" w:fill="auto"/>
            <w:vAlign w:val="center"/>
          </w:tcPr>
          <w:p w14:paraId="41F39512">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13</w:t>
            </w:r>
          </w:p>
        </w:tc>
        <w:tc>
          <w:tcPr>
            <w:tcW w:w="1336" w:type="dxa"/>
            <w:tcBorders>
              <w:top w:val="nil"/>
              <w:left w:val="nil"/>
              <w:bottom w:val="single" w:color="auto" w:sz="4" w:space="0"/>
              <w:right w:val="single" w:color="auto" w:sz="4" w:space="0"/>
            </w:tcBorders>
            <w:shd w:val="clear" w:color="auto" w:fill="auto"/>
            <w:vAlign w:val="center"/>
          </w:tcPr>
          <w:p w14:paraId="38AA9E65">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湟中区上新庄镇小马鸡沟（华山）水源地</w:t>
            </w:r>
          </w:p>
        </w:tc>
        <w:tc>
          <w:tcPr>
            <w:tcW w:w="709" w:type="dxa"/>
            <w:tcBorders>
              <w:top w:val="nil"/>
              <w:left w:val="nil"/>
              <w:bottom w:val="single" w:color="auto" w:sz="4" w:space="0"/>
              <w:right w:val="single" w:color="auto" w:sz="4" w:space="0"/>
            </w:tcBorders>
            <w:shd w:val="clear" w:color="auto" w:fill="auto"/>
            <w:vAlign w:val="center"/>
          </w:tcPr>
          <w:p w14:paraId="048B4DC7">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设备房取电</w:t>
            </w:r>
          </w:p>
        </w:tc>
        <w:tc>
          <w:tcPr>
            <w:tcW w:w="992" w:type="dxa"/>
            <w:tcBorders>
              <w:top w:val="nil"/>
              <w:left w:val="nil"/>
              <w:bottom w:val="single" w:color="auto" w:sz="4" w:space="0"/>
              <w:right w:val="single" w:color="auto" w:sz="4" w:space="0"/>
            </w:tcBorders>
            <w:shd w:val="clear" w:color="auto" w:fill="auto"/>
            <w:vAlign w:val="center"/>
          </w:tcPr>
          <w:p w14:paraId="6F3390E6">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沉淀池进水口</w:t>
            </w:r>
          </w:p>
        </w:tc>
        <w:tc>
          <w:tcPr>
            <w:tcW w:w="709" w:type="dxa"/>
            <w:tcBorders>
              <w:top w:val="nil"/>
              <w:left w:val="nil"/>
              <w:bottom w:val="single" w:color="auto" w:sz="4" w:space="0"/>
              <w:right w:val="single" w:color="auto" w:sz="4" w:space="0"/>
            </w:tcBorders>
            <w:shd w:val="clear" w:color="auto" w:fill="auto"/>
            <w:vAlign w:val="center"/>
          </w:tcPr>
          <w:p w14:paraId="284ABDF1">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1</w:t>
            </w:r>
          </w:p>
        </w:tc>
        <w:tc>
          <w:tcPr>
            <w:tcW w:w="851" w:type="dxa"/>
            <w:tcBorders>
              <w:top w:val="nil"/>
              <w:left w:val="nil"/>
              <w:bottom w:val="single" w:color="auto" w:sz="4" w:space="0"/>
              <w:right w:val="single" w:color="auto" w:sz="4" w:space="0"/>
            </w:tcBorders>
            <w:shd w:val="clear" w:color="auto" w:fill="auto"/>
            <w:vAlign w:val="center"/>
          </w:tcPr>
          <w:p w14:paraId="5665A017">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220V本地供电</w:t>
            </w:r>
          </w:p>
        </w:tc>
        <w:tc>
          <w:tcPr>
            <w:tcW w:w="819" w:type="dxa"/>
            <w:tcBorders>
              <w:top w:val="nil"/>
              <w:left w:val="nil"/>
              <w:bottom w:val="single" w:color="auto" w:sz="4" w:space="0"/>
              <w:right w:val="single" w:color="auto" w:sz="4" w:space="0"/>
            </w:tcBorders>
            <w:shd w:val="clear" w:color="auto" w:fill="auto"/>
            <w:vAlign w:val="center"/>
          </w:tcPr>
          <w:p w14:paraId="13BB6E85">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300</w:t>
            </w:r>
          </w:p>
        </w:tc>
        <w:tc>
          <w:tcPr>
            <w:tcW w:w="821" w:type="dxa"/>
            <w:tcBorders>
              <w:top w:val="nil"/>
              <w:left w:val="nil"/>
              <w:bottom w:val="single" w:color="auto" w:sz="4" w:space="0"/>
              <w:right w:val="single" w:color="auto" w:sz="4" w:space="0"/>
            </w:tcBorders>
            <w:shd w:val="clear" w:color="auto" w:fill="auto"/>
            <w:vAlign w:val="center"/>
          </w:tcPr>
          <w:p w14:paraId="188BA7D4">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w:t>
            </w:r>
          </w:p>
        </w:tc>
        <w:tc>
          <w:tcPr>
            <w:tcW w:w="709" w:type="dxa"/>
            <w:tcBorders>
              <w:top w:val="nil"/>
              <w:left w:val="nil"/>
              <w:bottom w:val="single" w:color="auto" w:sz="4" w:space="0"/>
              <w:right w:val="single" w:color="auto" w:sz="4" w:space="0"/>
            </w:tcBorders>
            <w:shd w:val="clear" w:color="auto" w:fill="auto"/>
            <w:vAlign w:val="center"/>
          </w:tcPr>
          <w:p w14:paraId="40B23CBE">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0</w:t>
            </w:r>
          </w:p>
        </w:tc>
        <w:tc>
          <w:tcPr>
            <w:tcW w:w="850" w:type="dxa"/>
            <w:tcBorders>
              <w:top w:val="nil"/>
              <w:left w:val="nil"/>
              <w:bottom w:val="single" w:color="auto" w:sz="4" w:space="0"/>
              <w:right w:val="single" w:color="auto" w:sz="4" w:space="0"/>
            </w:tcBorders>
            <w:shd w:val="clear" w:color="auto" w:fill="auto"/>
            <w:vAlign w:val="center"/>
          </w:tcPr>
          <w:p w14:paraId="10D11EDE">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w:t>
            </w:r>
          </w:p>
        </w:tc>
        <w:tc>
          <w:tcPr>
            <w:tcW w:w="567" w:type="dxa"/>
            <w:tcBorders>
              <w:top w:val="nil"/>
              <w:left w:val="nil"/>
              <w:bottom w:val="single" w:color="auto" w:sz="4" w:space="0"/>
              <w:right w:val="single" w:color="auto" w:sz="4" w:space="0"/>
            </w:tcBorders>
            <w:shd w:val="clear" w:color="auto" w:fill="auto"/>
            <w:vAlign w:val="center"/>
          </w:tcPr>
          <w:p w14:paraId="4199D5F5">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0</w:t>
            </w:r>
          </w:p>
        </w:tc>
      </w:tr>
      <w:tr w14:paraId="35EEF6D2">
        <w:tblPrEx>
          <w:tblCellMar>
            <w:top w:w="0" w:type="dxa"/>
            <w:left w:w="108" w:type="dxa"/>
            <w:bottom w:w="0" w:type="dxa"/>
            <w:right w:w="108" w:type="dxa"/>
          </w:tblCellMar>
        </w:tblPrEx>
        <w:trPr>
          <w:trHeight w:val="671" w:hRule="atLeast"/>
        </w:trPr>
        <w:tc>
          <w:tcPr>
            <w:tcW w:w="426" w:type="dxa"/>
            <w:tcBorders>
              <w:top w:val="nil"/>
              <w:left w:val="single" w:color="auto" w:sz="4" w:space="0"/>
              <w:bottom w:val="single" w:color="auto" w:sz="4" w:space="0"/>
              <w:right w:val="single" w:color="auto" w:sz="4" w:space="0"/>
            </w:tcBorders>
            <w:shd w:val="clear" w:color="auto" w:fill="auto"/>
            <w:vAlign w:val="center"/>
          </w:tcPr>
          <w:p w14:paraId="56867DEA">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14</w:t>
            </w:r>
          </w:p>
        </w:tc>
        <w:tc>
          <w:tcPr>
            <w:tcW w:w="1336" w:type="dxa"/>
            <w:tcBorders>
              <w:top w:val="nil"/>
              <w:left w:val="nil"/>
              <w:bottom w:val="single" w:color="auto" w:sz="4" w:space="0"/>
              <w:right w:val="single" w:color="auto" w:sz="4" w:space="0"/>
            </w:tcBorders>
            <w:shd w:val="clear" w:color="auto" w:fill="auto"/>
            <w:vAlign w:val="center"/>
          </w:tcPr>
          <w:p w14:paraId="00996C21">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湟中区上新庄镇加牙水源地</w:t>
            </w:r>
          </w:p>
        </w:tc>
        <w:tc>
          <w:tcPr>
            <w:tcW w:w="709" w:type="dxa"/>
            <w:tcBorders>
              <w:top w:val="nil"/>
              <w:left w:val="nil"/>
              <w:bottom w:val="single" w:color="auto" w:sz="4" w:space="0"/>
              <w:right w:val="single" w:color="auto" w:sz="4" w:space="0"/>
            </w:tcBorders>
            <w:shd w:val="clear" w:color="auto" w:fill="auto"/>
            <w:vAlign w:val="center"/>
          </w:tcPr>
          <w:p w14:paraId="18D5D39B">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设备房取电</w:t>
            </w:r>
          </w:p>
        </w:tc>
        <w:tc>
          <w:tcPr>
            <w:tcW w:w="992" w:type="dxa"/>
            <w:tcBorders>
              <w:top w:val="nil"/>
              <w:left w:val="nil"/>
              <w:bottom w:val="single" w:color="auto" w:sz="4" w:space="0"/>
              <w:right w:val="single" w:color="auto" w:sz="4" w:space="0"/>
            </w:tcBorders>
            <w:shd w:val="clear" w:color="auto" w:fill="auto"/>
            <w:vAlign w:val="center"/>
          </w:tcPr>
          <w:p w14:paraId="5E239BD4">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廊道汇水口</w:t>
            </w:r>
          </w:p>
        </w:tc>
        <w:tc>
          <w:tcPr>
            <w:tcW w:w="709" w:type="dxa"/>
            <w:tcBorders>
              <w:top w:val="nil"/>
              <w:left w:val="nil"/>
              <w:bottom w:val="single" w:color="auto" w:sz="4" w:space="0"/>
              <w:right w:val="single" w:color="auto" w:sz="4" w:space="0"/>
            </w:tcBorders>
            <w:shd w:val="clear" w:color="auto" w:fill="auto"/>
            <w:vAlign w:val="center"/>
          </w:tcPr>
          <w:p w14:paraId="171DF40A">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1</w:t>
            </w:r>
          </w:p>
        </w:tc>
        <w:tc>
          <w:tcPr>
            <w:tcW w:w="851" w:type="dxa"/>
            <w:tcBorders>
              <w:top w:val="nil"/>
              <w:left w:val="nil"/>
              <w:bottom w:val="single" w:color="auto" w:sz="4" w:space="0"/>
              <w:right w:val="single" w:color="auto" w:sz="4" w:space="0"/>
            </w:tcBorders>
            <w:shd w:val="clear" w:color="auto" w:fill="auto"/>
            <w:vAlign w:val="center"/>
          </w:tcPr>
          <w:p w14:paraId="7327E185">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220V本地供电</w:t>
            </w:r>
          </w:p>
        </w:tc>
        <w:tc>
          <w:tcPr>
            <w:tcW w:w="819" w:type="dxa"/>
            <w:tcBorders>
              <w:top w:val="nil"/>
              <w:left w:val="nil"/>
              <w:bottom w:val="single" w:color="auto" w:sz="4" w:space="0"/>
              <w:right w:val="single" w:color="auto" w:sz="4" w:space="0"/>
            </w:tcBorders>
            <w:shd w:val="clear" w:color="auto" w:fill="auto"/>
            <w:vAlign w:val="center"/>
          </w:tcPr>
          <w:p w14:paraId="5C03ACDE">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400</w:t>
            </w:r>
          </w:p>
        </w:tc>
        <w:tc>
          <w:tcPr>
            <w:tcW w:w="821" w:type="dxa"/>
            <w:tcBorders>
              <w:top w:val="nil"/>
              <w:left w:val="nil"/>
              <w:bottom w:val="single" w:color="auto" w:sz="4" w:space="0"/>
              <w:right w:val="single" w:color="auto" w:sz="4" w:space="0"/>
            </w:tcBorders>
            <w:shd w:val="clear" w:color="auto" w:fill="auto"/>
            <w:vAlign w:val="center"/>
          </w:tcPr>
          <w:p w14:paraId="140B9CBD">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w:t>
            </w:r>
          </w:p>
        </w:tc>
        <w:tc>
          <w:tcPr>
            <w:tcW w:w="709" w:type="dxa"/>
            <w:tcBorders>
              <w:top w:val="nil"/>
              <w:left w:val="nil"/>
              <w:bottom w:val="single" w:color="auto" w:sz="4" w:space="0"/>
              <w:right w:val="single" w:color="auto" w:sz="4" w:space="0"/>
            </w:tcBorders>
            <w:shd w:val="clear" w:color="auto" w:fill="auto"/>
            <w:vAlign w:val="center"/>
          </w:tcPr>
          <w:p w14:paraId="1C88BB34">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0</w:t>
            </w:r>
          </w:p>
        </w:tc>
        <w:tc>
          <w:tcPr>
            <w:tcW w:w="850" w:type="dxa"/>
            <w:tcBorders>
              <w:top w:val="nil"/>
              <w:left w:val="nil"/>
              <w:bottom w:val="single" w:color="auto" w:sz="4" w:space="0"/>
              <w:right w:val="single" w:color="auto" w:sz="4" w:space="0"/>
            </w:tcBorders>
            <w:shd w:val="clear" w:color="auto" w:fill="auto"/>
            <w:vAlign w:val="center"/>
          </w:tcPr>
          <w:p w14:paraId="44828ABD">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w:t>
            </w:r>
          </w:p>
        </w:tc>
        <w:tc>
          <w:tcPr>
            <w:tcW w:w="567" w:type="dxa"/>
            <w:tcBorders>
              <w:top w:val="nil"/>
              <w:left w:val="nil"/>
              <w:bottom w:val="single" w:color="auto" w:sz="4" w:space="0"/>
              <w:right w:val="single" w:color="auto" w:sz="4" w:space="0"/>
            </w:tcBorders>
            <w:shd w:val="clear" w:color="auto" w:fill="auto"/>
            <w:vAlign w:val="center"/>
          </w:tcPr>
          <w:p w14:paraId="5F114E1F">
            <w:pPr>
              <w:widowControl/>
              <w:jc w:val="center"/>
              <w:rPr>
                <w:rFonts w:hint="eastAsia" w:ascii="宋体" w:hAnsi="宋体" w:eastAsia="宋体" w:cs="Arial"/>
                <w:color w:val="000000"/>
                <w:kern w:val="0"/>
                <w:sz w:val="20"/>
                <w:szCs w:val="20"/>
              </w:rPr>
            </w:pPr>
            <w:r>
              <w:rPr>
                <w:rFonts w:hint="eastAsia" w:ascii="宋体" w:hAnsi="宋体" w:eastAsia="宋体" w:cs="Arial"/>
                <w:color w:val="000000"/>
                <w:kern w:val="0"/>
                <w:sz w:val="20"/>
                <w:szCs w:val="20"/>
              </w:rPr>
              <w:t>0</w:t>
            </w:r>
          </w:p>
        </w:tc>
      </w:tr>
      <w:tr w14:paraId="203F404F">
        <w:tblPrEx>
          <w:tblCellMar>
            <w:top w:w="0" w:type="dxa"/>
            <w:left w:w="108" w:type="dxa"/>
            <w:bottom w:w="0" w:type="dxa"/>
            <w:right w:w="108" w:type="dxa"/>
          </w:tblCellMar>
        </w:tblPrEx>
        <w:trPr>
          <w:trHeight w:val="671" w:hRule="atLeast"/>
        </w:trPr>
        <w:tc>
          <w:tcPr>
            <w:tcW w:w="3463" w:type="dxa"/>
            <w:gridSpan w:val="4"/>
            <w:tcBorders>
              <w:top w:val="single" w:color="auto" w:sz="4" w:space="0"/>
              <w:left w:val="single" w:color="auto" w:sz="4" w:space="0"/>
              <w:bottom w:val="single" w:color="auto" w:sz="4" w:space="0"/>
              <w:right w:val="single" w:color="auto" w:sz="4" w:space="0"/>
            </w:tcBorders>
            <w:shd w:val="clear" w:color="auto" w:fill="auto"/>
            <w:vAlign w:val="center"/>
          </w:tcPr>
          <w:p w14:paraId="2B7F9DEC">
            <w:pPr>
              <w:widowControl/>
              <w:jc w:val="center"/>
              <w:rPr>
                <w:rFonts w:hint="eastAsia" w:ascii="宋体" w:hAnsi="宋体" w:eastAsia="宋体" w:cs="Arial"/>
                <w:b/>
                <w:bCs/>
                <w:color w:val="000000"/>
                <w:kern w:val="0"/>
                <w:sz w:val="20"/>
                <w:szCs w:val="20"/>
              </w:rPr>
            </w:pPr>
            <w:r>
              <w:rPr>
                <w:rFonts w:hint="eastAsia" w:ascii="宋体" w:hAnsi="宋体" w:eastAsia="宋体" w:cs="Arial"/>
                <w:b/>
                <w:bCs/>
                <w:color w:val="000000"/>
                <w:kern w:val="0"/>
                <w:sz w:val="20"/>
                <w:szCs w:val="20"/>
              </w:rPr>
              <w:t>数量总计</w:t>
            </w:r>
          </w:p>
        </w:tc>
        <w:tc>
          <w:tcPr>
            <w:tcW w:w="709" w:type="dxa"/>
            <w:tcBorders>
              <w:top w:val="nil"/>
              <w:left w:val="nil"/>
              <w:bottom w:val="single" w:color="auto" w:sz="4" w:space="0"/>
              <w:right w:val="single" w:color="auto" w:sz="4" w:space="0"/>
            </w:tcBorders>
            <w:shd w:val="clear" w:color="auto" w:fill="auto"/>
            <w:vAlign w:val="center"/>
          </w:tcPr>
          <w:p w14:paraId="59DA3316">
            <w:pPr>
              <w:widowControl/>
              <w:jc w:val="center"/>
              <w:rPr>
                <w:rFonts w:hint="eastAsia" w:ascii="宋体" w:hAnsi="宋体" w:eastAsia="宋体" w:cs="Arial"/>
                <w:b/>
                <w:bCs/>
                <w:color w:val="000000"/>
                <w:kern w:val="0"/>
                <w:sz w:val="20"/>
                <w:szCs w:val="20"/>
              </w:rPr>
            </w:pPr>
            <w:r>
              <w:rPr>
                <w:rFonts w:hint="eastAsia" w:ascii="宋体" w:hAnsi="宋体" w:eastAsia="宋体" w:cs="Arial"/>
                <w:b/>
                <w:bCs/>
                <w:color w:val="000000"/>
                <w:kern w:val="0"/>
                <w:sz w:val="20"/>
                <w:szCs w:val="20"/>
              </w:rPr>
              <w:t>14</w:t>
            </w:r>
          </w:p>
        </w:tc>
        <w:tc>
          <w:tcPr>
            <w:tcW w:w="851" w:type="dxa"/>
            <w:tcBorders>
              <w:top w:val="nil"/>
              <w:left w:val="nil"/>
              <w:bottom w:val="single" w:color="auto" w:sz="4" w:space="0"/>
              <w:right w:val="single" w:color="auto" w:sz="4" w:space="0"/>
            </w:tcBorders>
            <w:shd w:val="clear" w:color="auto" w:fill="auto"/>
            <w:vAlign w:val="center"/>
          </w:tcPr>
          <w:p w14:paraId="22E6B05B">
            <w:pPr>
              <w:widowControl/>
              <w:jc w:val="center"/>
              <w:rPr>
                <w:rFonts w:hint="eastAsia" w:ascii="宋体" w:hAnsi="宋体" w:eastAsia="宋体" w:cs="Arial"/>
                <w:b/>
                <w:bCs/>
                <w:color w:val="000000"/>
                <w:kern w:val="0"/>
                <w:sz w:val="20"/>
                <w:szCs w:val="20"/>
              </w:rPr>
            </w:pPr>
            <w:r>
              <w:rPr>
                <w:rFonts w:hint="eastAsia" w:ascii="宋体" w:hAnsi="宋体" w:eastAsia="宋体" w:cs="Arial"/>
                <w:b/>
                <w:bCs/>
                <w:color w:val="000000"/>
                <w:kern w:val="0"/>
                <w:sz w:val="20"/>
                <w:szCs w:val="20"/>
              </w:rPr>
              <w:t>　</w:t>
            </w:r>
          </w:p>
        </w:tc>
        <w:tc>
          <w:tcPr>
            <w:tcW w:w="819" w:type="dxa"/>
            <w:tcBorders>
              <w:top w:val="nil"/>
              <w:left w:val="nil"/>
              <w:bottom w:val="single" w:color="auto" w:sz="4" w:space="0"/>
              <w:right w:val="single" w:color="auto" w:sz="4" w:space="0"/>
            </w:tcBorders>
            <w:shd w:val="clear" w:color="auto" w:fill="auto"/>
            <w:vAlign w:val="center"/>
          </w:tcPr>
          <w:p w14:paraId="070852FA">
            <w:pPr>
              <w:widowControl/>
              <w:jc w:val="center"/>
              <w:rPr>
                <w:rFonts w:hint="eastAsia" w:ascii="宋体" w:hAnsi="宋体" w:eastAsia="宋体" w:cs="Arial"/>
                <w:b/>
                <w:bCs/>
                <w:color w:val="000000"/>
                <w:kern w:val="0"/>
                <w:sz w:val="20"/>
                <w:szCs w:val="20"/>
              </w:rPr>
            </w:pPr>
            <w:r>
              <w:rPr>
                <w:rFonts w:hint="eastAsia" w:ascii="宋体" w:hAnsi="宋体" w:eastAsia="宋体" w:cs="Arial"/>
                <w:b/>
                <w:bCs/>
                <w:color w:val="000000"/>
                <w:kern w:val="0"/>
                <w:sz w:val="20"/>
                <w:szCs w:val="20"/>
              </w:rPr>
              <w:t>4200</w:t>
            </w:r>
          </w:p>
        </w:tc>
        <w:tc>
          <w:tcPr>
            <w:tcW w:w="821" w:type="dxa"/>
            <w:tcBorders>
              <w:top w:val="nil"/>
              <w:left w:val="nil"/>
              <w:bottom w:val="single" w:color="auto" w:sz="4" w:space="0"/>
              <w:right w:val="single" w:color="auto" w:sz="4" w:space="0"/>
            </w:tcBorders>
            <w:shd w:val="clear" w:color="auto" w:fill="auto"/>
            <w:vAlign w:val="center"/>
          </w:tcPr>
          <w:p w14:paraId="6563F1F9">
            <w:pPr>
              <w:widowControl/>
              <w:jc w:val="center"/>
              <w:rPr>
                <w:rFonts w:hint="eastAsia" w:ascii="宋体" w:hAnsi="宋体" w:eastAsia="宋体" w:cs="Arial"/>
                <w:b/>
                <w:bCs/>
                <w:color w:val="000000"/>
                <w:kern w:val="0"/>
                <w:sz w:val="20"/>
                <w:szCs w:val="20"/>
              </w:rPr>
            </w:pPr>
            <w:r>
              <w:rPr>
                <w:rFonts w:hint="eastAsia" w:ascii="宋体" w:hAnsi="宋体" w:eastAsia="宋体" w:cs="Arial"/>
                <w:b/>
                <w:bCs/>
                <w:color w:val="000000"/>
                <w:kern w:val="0"/>
                <w:sz w:val="20"/>
                <w:szCs w:val="20"/>
              </w:rPr>
              <w:t>　</w:t>
            </w:r>
          </w:p>
        </w:tc>
        <w:tc>
          <w:tcPr>
            <w:tcW w:w="709" w:type="dxa"/>
            <w:tcBorders>
              <w:top w:val="nil"/>
              <w:left w:val="nil"/>
              <w:bottom w:val="single" w:color="auto" w:sz="4" w:space="0"/>
              <w:right w:val="single" w:color="auto" w:sz="4" w:space="0"/>
            </w:tcBorders>
            <w:shd w:val="clear" w:color="auto" w:fill="auto"/>
            <w:vAlign w:val="center"/>
          </w:tcPr>
          <w:p w14:paraId="4646BD4A">
            <w:pPr>
              <w:widowControl/>
              <w:jc w:val="center"/>
              <w:rPr>
                <w:rFonts w:hint="eastAsia" w:ascii="宋体" w:hAnsi="宋体" w:eastAsia="宋体" w:cs="Arial"/>
                <w:b/>
                <w:bCs/>
                <w:color w:val="000000"/>
                <w:kern w:val="0"/>
                <w:sz w:val="20"/>
                <w:szCs w:val="20"/>
              </w:rPr>
            </w:pPr>
            <w:r>
              <w:rPr>
                <w:rFonts w:hint="eastAsia" w:ascii="宋体" w:hAnsi="宋体" w:eastAsia="宋体" w:cs="Arial"/>
                <w:b/>
                <w:bCs/>
                <w:color w:val="000000"/>
                <w:kern w:val="0"/>
                <w:sz w:val="20"/>
                <w:szCs w:val="20"/>
              </w:rPr>
              <w:t>15</w:t>
            </w:r>
          </w:p>
        </w:tc>
        <w:tc>
          <w:tcPr>
            <w:tcW w:w="850" w:type="dxa"/>
            <w:tcBorders>
              <w:top w:val="nil"/>
              <w:left w:val="nil"/>
              <w:bottom w:val="single" w:color="auto" w:sz="4" w:space="0"/>
              <w:right w:val="single" w:color="auto" w:sz="4" w:space="0"/>
            </w:tcBorders>
            <w:shd w:val="clear" w:color="auto" w:fill="auto"/>
            <w:vAlign w:val="center"/>
          </w:tcPr>
          <w:p w14:paraId="22D8A5F0">
            <w:pPr>
              <w:widowControl/>
              <w:jc w:val="center"/>
              <w:rPr>
                <w:rFonts w:hint="eastAsia" w:ascii="宋体" w:hAnsi="宋体" w:eastAsia="宋体" w:cs="Arial"/>
                <w:b/>
                <w:bCs/>
                <w:color w:val="000000"/>
                <w:kern w:val="0"/>
                <w:sz w:val="20"/>
                <w:szCs w:val="20"/>
              </w:rPr>
            </w:pPr>
            <w:r>
              <w:rPr>
                <w:rFonts w:hint="eastAsia" w:ascii="宋体" w:hAnsi="宋体" w:eastAsia="宋体" w:cs="Arial"/>
                <w:b/>
                <w:bCs/>
                <w:color w:val="000000"/>
                <w:kern w:val="0"/>
                <w:sz w:val="20"/>
                <w:szCs w:val="20"/>
              </w:rPr>
              <w:t>　</w:t>
            </w:r>
          </w:p>
        </w:tc>
        <w:tc>
          <w:tcPr>
            <w:tcW w:w="567" w:type="dxa"/>
            <w:tcBorders>
              <w:top w:val="nil"/>
              <w:left w:val="nil"/>
              <w:bottom w:val="single" w:color="auto" w:sz="4" w:space="0"/>
              <w:right w:val="single" w:color="auto" w:sz="4" w:space="0"/>
            </w:tcBorders>
            <w:shd w:val="clear" w:color="auto" w:fill="auto"/>
            <w:vAlign w:val="center"/>
          </w:tcPr>
          <w:p w14:paraId="6C62AACC">
            <w:pPr>
              <w:widowControl/>
              <w:jc w:val="center"/>
              <w:rPr>
                <w:rFonts w:hint="eastAsia" w:ascii="宋体" w:hAnsi="宋体" w:eastAsia="宋体" w:cs="Arial"/>
                <w:b/>
                <w:bCs/>
                <w:color w:val="000000"/>
                <w:kern w:val="0"/>
                <w:sz w:val="20"/>
                <w:szCs w:val="20"/>
              </w:rPr>
            </w:pPr>
            <w:r>
              <w:rPr>
                <w:rFonts w:hint="eastAsia" w:ascii="宋体" w:hAnsi="宋体" w:eastAsia="宋体" w:cs="Arial"/>
                <w:b/>
                <w:bCs/>
                <w:color w:val="000000"/>
                <w:kern w:val="0"/>
                <w:sz w:val="20"/>
                <w:szCs w:val="20"/>
              </w:rPr>
              <w:t>3600</w:t>
            </w:r>
          </w:p>
        </w:tc>
      </w:tr>
    </w:tbl>
    <w:p w14:paraId="4ACFAF43">
      <w:pPr>
        <w:pStyle w:val="3"/>
        <w:spacing w:before="0" w:after="0" w:line="360" w:lineRule="auto"/>
        <w:rPr>
          <w:rFonts w:hint="eastAsia" w:ascii="宋体" w:hAnsi="宋体" w:eastAsia="宋体"/>
          <w:sz w:val="28"/>
          <w:szCs w:val="28"/>
        </w:rPr>
      </w:pPr>
      <w:bookmarkStart w:id="211" w:name="_Toc175233360"/>
      <w:r>
        <w:rPr>
          <w:rFonts w:hint="eastAsia" w:ascii="宋体" w:hAnsi="宋体" w:eastAsia="宋体"/>
          <w:sz w:val="28"/>
          <w:szCs w:val="28"/>
        </w:rPr>
        <w:t>水源地水质在线监测及视频联动报警</w:t>
      </w:r>
      <w:bookmarkEnd w:id="211"/>
    </w:p>
    <w:p w14:paraId="64E51527">
      <w:pPr>
        <w:spacing w:line="360" w:lineRule="auto"/>
        <w:ind w:firstLine="480" w:firstLineChars="200"/>
        <w:rPr>
          <w:rFonts w:hint="eastAsia" w:ascii="宋体" w:hAnsi="宋体" w:eastAsia="宋体" w:cs="仿宋"/>
          <w:sz w:val="24"/>
        </w:rPr>
      </w:pPr>
      <w:r>
        <w:rPr>
          <w:rFonts w:hint="eastAsia" w:ascii="宋体" w:hAnsi="宋体" w:eastAsia="宋体" w:cs="仿宋"/>
          <w:sz w:val="24"/>
        </w:rPr>
        <w:t>反映饮用水水质的指标参数有很多，其中浑浊度（简称浊度）是最为重要的指标之一。一般百姓对浊度只有模糊的概念，也没有专业的仪器来检测，但都知道自来水不应该浑浊不清以及没有肉眼可见的杂质。实际上，浊度简单易测，也是衡量水质良好程度的核心指标之一。它既是反映饮用水的物理性状的一项指标，用以表示水的清澈或浑浊程度，也是间接的微生物指标。</w:t>
      </w:r>
    </w:p>
    <w:p w14:paraId="43696C2F">
      <w:pPr>
        <w:spacing w:line="360" w:lineRule="auto"/>
        <w:ind w:firstLine="480" w:firstLineChars="200"/>
        <w:rPr>
          <w:rFonts w:hint="eastAsia" w:ascii="宋体" w:hAnsi="宋体" w:eastAsia="宋体" w:cs="Arial"/>
          <w:kern w:val="21"/>
          <w:sz w:val="24"/>
        </w:rPr>
      </w:pPr>
      <w:r>
        <w:rPr>
          <w:rFonts w:hint="eastAsia" w:ascii="宋体" w:hAnsi="宋体" w:eastAsia="宋体" w:cs="仿宋"/>
          <w:sz w:val="24"/>
        </w:rPr>
        <w:t>一般通过沉淀和过滤的方式去除原水中的浊度物质。为了提高沉淀和过滤效率，通常需要投加一定量的明矾或类似化合物等被称为“混凝剂”的化学药剂，使水中的胶体等颗粒物质“脱稳”，也即更容易相互团聚长大而易于沉淀，以及更容易粘附在滤池中的滤料表面而利用过滤去除，从</w:t>
      </w:r>
      <w:r>
        <w:rPr>
          <w:rFonts w:hint="eastAsia" w:ascii="宋体" w:hAnsi="宋体" w:eastAsia="宋体" w:cs="Arial"/>
          <w:kern w:val="21"/>
          <w:sz w:val="24"/>
          <w:shd w:val="clear" w:color="auto" w:fill="FFFFFF" w:themeFill="background1"/>
          <w:lang w:val="zh-CN"/>
        </w:rPr>
        <w:t>水源地</w:t>
      </w:r>
      <w:r>
        <w:rPr>
          <w:rFonts w:hint="eastAsia" w:ascii="宋体" w:hAnsi="宋体" w:eastAsia="宋体" w:cs="仿宋"/>
          <w:sz w:val="24"/>
        </w:rPr>
        <w:t>上游监测浑浊度意义重大。</w:t>
      </w:r>
      <w:r>
        <w:rPr>
          <w:rFonts w:hint="eastAsia" w:ascii="宋体" w:hAnsi="宋体" w:eastAsia="宋体" w:cs="Arial"/>
          <w:kern w:val="21"/>
          <w:sz w:val="24"/>
        </w:rPr>
        <w:t>浑浊度检测仪是了解水环境质量状况的“眼睛”，能够为饮用水保护监督管理和决策工作提供即时的准确数据，已广泛应用于</w:t>
      </w:r>
      <w:r>
        <w:rPr>
          <w:rFonts w:hint="eastAsia" w:ascii="宋体" w:hAnsi="宋体" w:eastAsia="宋体" w:cs="Arial"/>
          <w:kern w:val="21"/>
          <w:sz w:val="24"/>
          <w:shd w:val="clear" w:color="auto" w:fill="FFFFFF" w:themeFill="background1"/>
          <w:lang w:val="zh-CN"/>
        </w:rPr>
        <w:t>水源地</w:t>
      </w:r>
      <w:r>
        <w:rPr>
          <w:rFonts w:hint="eastAsia" w:ascii="宋体" w:hAnsi="宋体" w:eastAsia="宋体" w:cs="Arial"/>
          <w:kern w:val="21"/>
          <w:sz w:val="24"/>
        </w:rPr>
        <w:t>等水质自动监测。</w:t>
      </w:r>
    </w:p>
    <w:p w14:paraId="3E6819F2">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基于水质在线监测系统户外、无人值守的应用环境，采用浑浊度光电自动监测设备和数据采集传输装置，通过无线网络传输监测数据，可根据水源地监测点场地条件，灵活选择安装位置。实现水样的自动采集和分析，对监测数据能自动采集和存储，能提供远程传输接口及控制接口。</w:t>
      </w:r>
    </w:p>
    <w:p w14:paraId="3AB82EB5">
      <w:pPr>
        <w:spacing w:line="360" w:lineRule="auto"/>
        <w:ind w:firstLine="480" w:firstLineChars="200"/>
        <w:rPr>
          <w:rFonts w:hint="eastAsia" w:ascii="宋体" w:hAnsi="宋体" w:eastAsia="宋体" w:cs="Arial"/>
          <w:kern w:val="21"/>
          <w:sz w:val="24"/>
        </w:rPr>
      </w:pPr>
      <w:r>
        <w:rPr>
          <w:rFonts w:ascii="宋体" w:hAnsi="宋体" w:eastAsia="宋体" w:cs="Arial"/>
          <w:kern w:val="21"/>
          <w:sz w:val="24"/>
        </w:rPr>
        <w:t>在</w:t>
      </w:r>
      <w:r>
        <w:rPr>
          <w:rFonts w:hint="eastAsia" w:ascii="宋体" w:hAnsi="宋体" w:eastAsia="宋体" w:cs="Arial"/>
          <w:kern w:val="21"/>
          <w:sz w:val="24"/>
        </w:rPr>
        <w:t>各</w:t>
      </w:r>
      <w:r>
        <w:rPr>
          <w:rFonts w:hint="eastAsia" w:ascii="宋体" w:hAnsi="宋体" w:eastAsia="宋体" w:cs="Arial"/>
          <w:kern w:val="21"/>
          <w:sz w:val="24"/>
          <w:shd w:val="clear" w:color="auto" w:fill="FFFFFF" w:themeFill="background1"/>
          <w:lang w:val="zh-CN"/>
        </w:rPr>
        <w:t>水源地安装</w:t>
      </w:r>
      <w:r>
        <w:rPr>
          <w:rFonts w:ascii="宋体" w:hAnsi="宋体" w:eastAsia="宋体" w:cs="Arial"/>
          <w:kern w:val="21"/>
          <w:sz w:val="24"/>
        </w:rPr>
        <w:t>浑浊度</w:t>
      </w:r>
      <w:r>
        <w:rPr>
          <w:rFonts w:hint="eastAsia" w:ascii="宋体" w:hAnsi="宋体" w:eastAsia="宋体" w:cs="Arial"/>
          <w:kern w:val="21"/>
          <w:sz w:val="24"/>
        </w:rPr>
        <w:t>光电自动监测装置、数据采集传输装置、视频监控摄像头和视频联动算法装置等整套水质监测设备，</w:t>
      </w:r>
      <w:r>
        <w:rPr>
          <w:rFonts w:ascii="宋体" w:hAnsi="宋体" w:eastAsia="宋体" w:cs="Arial"/>
          <w:kern w:val="21"/>
          <w:sz w:val="24"/>
        </w:rPr>
        <w:t>重点监测水源浑浊度，</w:t>
      </w:r>
      <w:r>
        <w:rPr>
          <w:rFonts w:hint="eastAsia" w:ascii="宋体" w:hAnsi="宋体" w:eastAsia="宋体" w:cs="Arial"/>
          <w:kern w:val="21"/>
          <w:sz w:val="24"/>
        </w:rPr>
        <w:t>采集水质信息并定时推送至系统平台</w:t>
      </w:r>
      <w:r>
        <w:rPr>
          <w:rFonts w:ascii="宋体" w:hAnsi="宋体" w:eastAsia="宋体" w:cs="Arial"/>
          <w:kern w:val="21"/>
          <w:sz w:val="24"/>
        </w:rPr>
        <w:t>，</w:t>
      </w:r>
      <w:r>
        <w:rPr>
          <w:rFonts w:hint="eastAsia" w:ascii="宋体" w:hAnsi="宋体" w:eastAsia="宋体" w:cs="Arial"/>
          <w:kern w:val="21"/>
          <w:sz w:val="24"/>
        </w:rPr>
        <w:t>视频监控摄像头24小时不间断监控摄像点附近水面情况并定时发送现场监控图片，</w:t>
      </w:r>
      <w:r>
        <w:rPr>
          <w:rFonts w:ascii="宋体" w:hAnsi="宋体" w:eastAsia="宋体" w:cs="Arial"/>
          <w:kern w:val="21"/>
          <w:sz w:val="24"/>
        </w:rPr>
        <w:t>确保水质不达标时</w:t>
      </w:r>
      <w:r>
        <w:rPr>
          <w:rFonts w:hint="eastAsia" w:ascii="宋体" w:hAnsi="宋体" w:eastAsia="宋体" w:cs="Arial"/>
          <w:kern w:val="21"/>
          <w:sz w:val="24"/>
        </w:rPr>
        <w:t>可</w:t>
      </w:r>
      <w:r>
        <w:rPr>
          <w:rFonts w:ascii="宋体" w:hAnsi="宋体" w:eastAsia="宋体" w:cs="Arial"/>
          <w:kern w:val="21"/>
          <w:sz w:val="24"/>
        </w:rPr>
        <w:t>及时关闭进水口</w:t>
      </w:r>
      <w:r>
        <w:rPr>
          <w:rFonts w:hint="eastAsia" w:ascii="宋体" w:hAnsi="宋体" w:eastAsia="宋体" w:cs="Arial"/>
          <w:kern w:val="21"/>
          <w:sz w:val="24"/>
        </w:rPr>
        <w:t>。</w:t>
      </w:r>
    </w:p>
    <w:p w14:paraId="46E4AEC5">
      <w:pPr>
        <w:pStyle w:val="6"/>
        <w:spacing w:before="0" w:after="0" w:line="360" w:lineRule="auto"/>
        <w:rPr>
          <w:rFonts w:hint="eastAsia" w:ascii="宋体" w:hAnsi="宋体" w:eastAsia="宋体" w:cs="Arial"/>
          <w:kern w:val="21"/>
          <w:sz w:val="24"/>
        </w:rPr>
      </w:pPr>
      <w:bookmarkStart w:id="212" w:name="_Toc175233361"/>
      <w:r>
        <w:rPr>
          <w:rFonts w:hint="eastAsia" w:ascii="宋体" w:hAnsi="宋体" w:eastAsia="宋体" w:cs="Arial"/>
          <w:kern w:val="21"/>
          <w:sz w:val="24"/>
        </w:rPr>
        <w:t>浑浊度光电自动监测装置建设</w:t>
      </w:r>
      <w:bookmarkEnd w:id="212"/>
    </w:p>
    <w:p w14:paraId="4E118D50">
      <w:pPr>
        <w:pStyle w:val="7"/>
        <w:spacing w:before="0" w:after="0" w:line="360" w:lineRule="auto"/>
        <w:rPr>
          <w:rFonts w:hint="eastAsia" w:ascii="宋体" w:hAnsi="宋体" w:eastAsia="宋体"/>
          <w:b w:val="0"/>
          <w:bCs/>
          <w:sz w:val="24"/>
        </w:rPr>
      </w:pPr>
      <w:r>
        <w:rPr>
          <w:rFonts w:hint="eastAsia" w:ascii="宋体" w:hAnsi="宋体" w:eastAsia="宋体"/>
          <w:b w:val="0"/>
          <w:bCs/>
          <w:sz w:val="24"/>
        </w:rPr>
        <w:t>设备技术要求</w:t>
      </w:r>
    </w:p>
    <w:p w14:paraId="1267166C">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浑浊度光电自动监测设备共计安装14套。</w:t>
      </w:r>
    </w:p>
    <w:p w14:paraId="17D3F757">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浑浊度光电自动监测设备采用散射光式浊度测量法原理，通过测量与入射光垂直方向的散射光强度，并与内部标定值比对，从而计算出水样中的浊度，经过线性化处理输出最终值。</w:t>
      </w:r>
    </w:p>
    <w:p w14:paraId="39C490BC">
      <w:pPr>
        <w:spacing w:line="360" w:lineRule="auto"/>
        <w:ind w:firstLine="480" w:firstLineChars="200"/>
        <w:rPr>
          <w:rFonts w:hint="eastAsia" w:ascii="宋体" w:hAnsi="宋体" w:eastAsia="宋体" w:cs="Arial"/>
          <w:kern w:val="21"/>
          <w:sz w:val="24"/>
          <w:lang w:eastAsia="zh-Hans"/>
        </w:rPr>
      </w:pPr>
      <w:r>
        <w:rPr>
          <w:rFonts w:hint="eastAsia" w:ascii="宋体" w:hAnsi="宋体" w:eastAsia="宋体" w:cs="Arial"/>
          <w:kern w:val="21"/>
          <w:sz w:val="24"/>
        </w:rPr>
        <w:t>浑浊度光电自动监测设备</w:t>
      </w:r>
      <w:r>
        <w:rPr>
          <w:rFonts w:hint="eastAsia" w:ascii="宋体" w:hAnsi="宋体" w:eastAsia="宋体" w:cs="Arial"/>
          <w:kern w:val="21"/>
          <w:sz w:val="24"/>
          <w:lang w:eastAsia="zh-Hans"/>
        </w:rPr>
        <w:t>的技术参数要求如下：</w:t>
      </w:r>
    </w:p>
    <w:p w14:paraId="44F144C1">
      <w:pPr>
        <w:pStyle w:val="44"/>
        <w:numPr>
          <w:ilvl w:val="0"/>
          <w:numId w:val="14"/>
        </w:numPr>
        <w:spacing w:line="360" w:lineRule="auto"/>
        <w:ind w:left="0" w:firstLine="480"/>
        <w:rPr>
          <w:rFonts w:hint="eastAsia" w:ascii="宋体" w:hAnsi="宋体" w:eastAsia="宋体" w:cs="Arial"/>
          <w:kern w:val="21"/>
          <w:sz w:val="24"/>
          <w:lang w:eastAsia="zh-Hans"/>
        </w:rPr>
      </w:pPr>
      <w:r>
        <w:rPr>
          <w:rFonts w:hint="eastAsia" w:ascii="宋体" w:hAnsi="宋体" w:eastAsia="宋体" w:cs="Arial"/>
          <w:kern w:val="21"/>
          <w:sz w:val="24"/>
          <w:lang w:eastAsia="zh-Hans"/>
        </w:rPr>
        <w:t>量程范围</w:t>
      </w:r>
      <w:r>
        <w:rPr>
          <w:rFonts w:hint="eastAsia" w:ascii="宋体" w:hAnsi="宋体" w:eastAsia="宋体" w:cs="Arial"/>
          <w:kern w:val="21"/>
          <w:sz w:val="24"/>
        </w:rPr>
        <w:t>/分辨率</w:t>
      </w:r>
      <w:r>
        <w:rPr>
          <w:rFonts w:hint="eastAsia" w:ascii="宋体" w:hAnsi="宋体" w:eastAsia="宋体" w:cs="Arial"/>
          <w:kern w:val="21"/>
          <w:sz w:val="24"/>
          <w:lang w:eastAsia="zh-Hans"/>
        </w:rPr>
        <w:t>：</w:t>
      </w:r>
      <w:r>
        <w:rPr>
          <w:rFonts w:ascii="宋体" w:hAnsi="宋体" w:eastAsia="宋体" w:cs="Arial"/>
          <w:kern w:val="21"/>
          <w:sz w:val="24"/>
          <w:lang w:eastAsia="zh-Hans"/>
        </w:rPr>
        <w:t>0～1000.0NTU  0.1NTU/0.1</w:t>
      </w:r>
      <w:r>
        <w:rPr>
          <w:rFonts w:hint="eastAsia" w:ascii="宋体" w:hAnsi="宋体" w:eastAsia="宋体" w:cs="Arial"/>
          <w:kern w:val="21"/>
          <w:sz w:val="24"/>
          <w:lang w:eastAsia="zh-Hans"/>
        </w:rPr>
        <w:t>℃</w:t>
      </w:r>
    </w:p>
    <w:p w14:paraId="76E76C63">
      <w:pPr>
        <w:pStyle w:val="35"/>
        <w:numPr>
          <w:ilvl w:val="0"/>
          <w:numId w:val="14"/>
        </w:numPr>
        <w:spacing w:after="0" w:line="360" w:lineRule="auto"/>
        <w:ind w:left="0" w:firstLine="480" w:firstLineChars="200"/>
        <w:rPr>
          <w:rFonts w:hint="eastAsia" w:ascii="宋体" w:hAnsi="宋体" w:cs="Arial"/>
          <w:kern w:val="21"/>
          <w:sz w:val="24"/>
          <w:szCs w:val="24"/>
          <w:lang w:val="en-US" w:eastAsia="zh-Hans"/>
        </w:rPr>
      </w:pPr>
      <w:r>
        <w:rPr>
          <w:rFonts w:hint="eastAsia" w:ascii="宋体" w:hAnsi="宋体" w:cs="Arial"/>
          <w:kern w:val="21"/>
          <w:sz w:val="24"/>
          <w:szCs w:val="24"/>
          <w:lang w:val="en-US" w:eastAsia="zh-Hans"/>
        </w:rPr>
        <w:t>精度：±</w:t>
      </w:r>
      <w:r>
        <w:rPr>
          <w:rFonts w:ascii="宋体" w:hAnsi="宋体" w:cs="Arial"/>
          <w:kern w:val="21"/>
          <w:sz w:val="24"/>
          <w:szCs w:val="24"/>
          <w:lang w:val="en-US" w:eastAsia="zh-Hans"/>
        </w:rPr>
        <w:t>5%或±3NTU</w:t>
      </w:r>
    </w:p>
    <w:p w14:paraId="27360EB9">
      <w:pPr>
        <w:pStyle w:val="44"/>
        <w:numPr>
          <w:ilvl w:val="0"/>
          <w:numId w:val="14"/>
        </w:numPr>
        <w:spacing w:line="360" w:lineRule="auto"/>
        <w:ind w:left="0" w:firstLine="480"/>
        <w:rPr>
          <w:rFonts w:hint="eastAsia" w:ascii="宋体" w:hAnsi="宋体" w:eastAsia="宋体" w:cs="Arial"/>
          <w:kern w:val="21"/>
          <w:sz w:val="24"/>
          <w:lang w:eastAsia="zh-Hans"/>
        </w:rPr>
      </w:pPr>
      <w:r>
        <w:rPr>
          <w:rFonts w:hint="eastAsia" w:ascii="宋体" w:hAnsi="宋体" w:eastAsia="宋体" w:cs="Arial"/>
          <w:kern w:val="21"/>
          <w:sz w:val="24"/>
          <w:lang w:eastAsia="zh-Hans"/>
        </w:rPr>
        <w:t>响应时间（</w:t>
      </w:r>
      <w:r>
        <w:rPr>
          <w:rFonts w:ascii="宋体" w:hAnsi="宋体" w:eastAsia="宋体" w:cs="Arial"/>
          <w:kern w:val="21"/>
          <w:sz w:val="24"/>
          <w:lang w:eastAsia="zh-Hans"/>
        </w:rPr>
        <w:t>T90）</w:t>
      </w:r>
      <w:r>
        <w:rPr>
          <w:rFonts w:hint="eastAsia" w:ascii="宋体" w:hAnsi="宋体" w:eastAsia="宋体" w:cs="Arial"/>
          <w:kern w:val="21"/>
          <w:sz w:val="24"/>
          <w:lang w:eastAsia="zh-Hans"/>
        </w:rPr>
        <w:t>：</w:t>
      </w:r>
      <w:r>
        <w:rPr>
          <w:rFonts w:ascii="宋体" w:hAnsi="宋体" w:eastAsia="宋体" w:cs="Arial"/>
          <w:kern w:val="21"/>
          <w:sz w:val="24"/>
          <w:lang w:eastAsia="zh-Hans"/>
        </w:rPr>
        <w:t>＜30s</w:t>
      </w:r>
    </w:p>
    <w:p w14:paraId="5FDF9351">
      <w:pPr>
        <w:pStyle w:val="44"/>
        <w:numPr>
          <w:ilvl w:val="0"/>
          <w:numId w:val="14"/>
        </w:numPr>
        <w:spacing w:line="360" w:lineRule="auto"/>
        <w:ind w:left="0" w:firstLine="480"/>
        <w:rPr>
          <w:rFonts w:hint="eastAsia" w:ascii="宋体" w:hAnsi="宋体" w:eastAsia="宋体" w:cs="Arial"/>
          <w:kern w:val="21"/>
          <w:sz w:val="24"/>
          <w:lang w:eastAsia="zh-Hans"/>
        </w:rPr>
      </w:pPr>
      <w:r>
        <w:rPr>
          <w:rFonts w:ascii="宋体" w:hAnsi="宋体" w:eastAsia="宋体" w:cs="Arial"/>
          <w:kern w:val="21"/>
          <w:sz w:val="24"/>
          <w:lang w:eastAsia="zh-Hans"/>
        </w:rPr>
        <w:t>支持RS-485，Modbus/RTU协议</w:t>
      </w:r>
    </w:p>
    <w:p w14:paraId="1F23688A">
      <w:pPr>
        <w:pStyle w:val="44"/>
        <w:numPr>
          <w:ilvl w:val="0"/>
          <w:numId w:val="14"/>
        </w:numPr>
        <w:spacing w:line="360" w:lineRule="auto"/>
        <w:ind w:left="0" w:firstLine="480"/>
        <w:rPr>
          <w:rFonts w:hint="eastAsia" w:ascii="宋体" w:hAnsi="宋体" w:eastAsia="宋体" w:cs="Arial"/>
          <w:kern w:val="21"/>
          <w:sz w:val="24"/>
          <w:lang w:eastAsia="zh-Hans"/>
        </w:rPr>
      </w:pPr>
      <w:r>
        <w:rPr>
          <w:rFonts w:ascii="宋体" w:hAnsi="宋体" w:eastAsia="宋体" w:cs="Arial"/>
          <w:kern w:val="21"/>
          <w:sz w:val="24"/>
          <w:lang w:eastAsia="zh-Hans"/>
        </w:rPr>
        <w:t>光纤式结构，抗外界光干扰能力强</w:t>
      </w:r>
    </w:p>
    <w:p w14:paraId="2C6E2F01">
      <w:pPr>
        <w:pStyle w:val="44"/>
        <w:numPr>
          <w:ilvl w:val="0"/>
          <w:numId w:val="14"/>
        </w:numPr>
        <w:spacing w:line="360" w:lineRule="auto"/>
        <w:ind w:left="0" w:firstLine="480"/>
        <w:rPr>
          <w:rFonts w:hint="eastAsia" w:ascii="宋体" w:hAnsi="宋体" w:eastAsia="宋体" w:cs="Arial"/>
          <w:kern w:val="21"/>
          <w:sz w:val="24"/>
          <w:lang w:eastAsia="zh-Hans"/>
        </w:rPr>
      </w:pPr>
      <w:r>
        <w:rPr>
          <w:rFonts w:ascii="宋体" w:hAnsi="宋体" w:eastAsia="宋体" w:cs="Arial"/>
          <w:kern w:val="21"/>
          <w:sz w:val="24"/>
          <w:lang w:eastAsia="zh-Hans"/>
        </w:rPr>
        <w:t>红外LED光源，稳定性高</w:t>
      </w:r>
    </w:p>
    <w:p w14:paraId="1A0E0E09">
      <w:pPr>
        <w:pStyle w:val="44"/>
        <w:numPr>
          <w:ilvl w:val="0"/>
          <w:numId w:val="14"/>
        </w:numPr>
        <w:spacing w:line="360" w:lineRule="auto"/>
        <w:ind w:left="0" w:firstLine="480"/>
        <w:rPr>
          <w:rFonts w:hint="eastAsia" w:ascii="宋体" w:hAnsi="宋体" w:eastAsia="宋体" w:cs="Arial"/>
          <w:kern w:val="21"/>
          <w:sz w:val="24"/>
        </w:rPr>
      </w:pPr>
      <w:r>
        <w:rPr>
          <w:rFonts w:ascii="宋体" w:hAnsi="宋体" w:eastAsia="宋体" w:cs="Arial"/>
          <w:kern w:val="21"/>
          <w:sz w:val="24"/>
          <w:lang w:eastAsia="zh-Hans"/>
        </w:rPr>
        <w:t>IP68防护，水深20米内</w:t>
      </w:r>
    </w:p>
    <w:p w14:paraId="283D2C7D">
      <w:pPr>
        <w:pStyle w:val="7"/>
        <w:spacing w:before="0" w:after="0" w:line="360" w:lineRule="auto"/>
        <w:rPr>
          <w:rFonts w:hint="eastAsia" w:ascii="宋体" w:hAnsi="宋体" w:eastAsia="宋体"/>
          <w:b w:val="0"/>
          <w:bCs/>
          <w:sz w:val="24"/>
        </w:rPr>
      </w:pPr>
      <w:r>
        <w:rPr>
          <w:rFonts w:hint="eastAsia" w:ascii="宋体" w:hAnsi="宋体" w:eastAsia="宋体"/>
          <w:b w:val="0"/>
          <w:bCs/>
          <w:sz w:val="24"/>
        </w:rPr>
        <w:t>设备安装和电气连接</w:t>
      </w:r>
    </w:p>
    <w:p w14:paraId="4DE07A3F">
      <w:pPr>
        <w:pStyle w:val="44"/>
        <w:numPr>
          <w:ilvl w:val="1"/>
          <w:numId w:val="15"/>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安装</w:t>
      </w:r>
    </w:p>
    <w:p w14:paraId="37BE9DA0">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安装距离要求：与侧壁保持5cm以上，与底部保持10cm以上。</w:t>
      </w:r>
    </w:p>
    <w:p w14:paraId="26B1DBB1">
      <w:pPr>
        <w:pStyle w:val="44"/>
        <w:numPr>
          <w:ilvl w:val="1"/>
          <w:numId w:val="15"/>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电气连接</w:t>
      </w:r>
    </w:p>
    <w:p w14:paraId="1045E39B">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通电前仔细检查接线顺序，线缆为4芯双绞屏蔽线，线序定义：</w:t>
      </w:r>
    </w:p>
    <w:p w14:paraId="64395DAA">
      <w:pPr>
        <w:pStyle w:val="44"/>
        <w:numPr>
          <w:ilvl w:val="0"/>
          <w:numId w:val="16"/>
        </w:numPr>
        <w:spacing w:line="360" w:lineRule="auto"/>
        <w:ind w:firstLineChars="0"/>
        <w:rPr>
          <w:rFonts w:hint="eastAsia" w:ascii="宋体" w:hAnsi="宋体" w:eastAsia="宋体" w:cs="Arial"/>
          <w:kern w:val="21"/>
          <w:sz w:val="24"/>
        </w:rPr>
      </w:pPr>
      <w:r>
        <w:rPr>
          <w:rFonts w:hint="eastAsia" w:ascii="宋体" w:hAnsi="宋体" w:eastAsia="宋体" w:cs="Arial"/>
          <w:kern w:val="21"/>
          <w:sz w:val="24"/>
        </w:rPr>
        <w:t>红色线—电源线（</w:t>
      </w:r>
      <w:r>
        <w:rPr>
          <w:rFonts w:ascii="宋体" w:hAnsi="宋体" w:eastAsia="宋体" w:cs="Arial"/>
          <w:kern w:val="21"/>
          <w:sz w:val="24"/>
        </w:rPr>
        <w:t>12</w:t>
      </w:r>
      <w:r>
        <w:rPr>
          <w:rFonts w:hint="eastAsia" w:ascii="宋体" w:hAnsi="宋体" w:eastAsia="宋体" w:cs="Arial"/>
          <w:kern w:val="21"/>
          <w:sz w:val="24"/>
        </w:rPr>
        <w:t>～</w:t>
      </w:r>
      <w:r>
        <w:rPr>
          <w:rFonts w:ascii="宋体" w:hAnsi="宋体" w:eastAsia="宋体" w:cs="Arial"/>
          <w:kern w:val="21"/>
          <w:sz w:val="24"/>
        </w:rPr>
        <w:t>24VDC</w:t>
      </w:r>
      <w:r>
        <w:rPr>
          <w:rFonts w:hint="eastAsia" w:ascii="宋体" w:hAnsi="宋体" w:eastAsia="宋体" w:cs="Arial"/>
          <w:kern w:val="21"/>
          <w:sz w:val="24"/>
        </w:rPr>
        <w:t>）</w:t>
      </w:r>
    </w:p>
    <w:p w14:paraId="07CB30FB">
      <w:pPr>
        <w:pStyle w:val="44"/>
        <w:numPr>
          <w:ilvl w:val="0"/>
          <w:numId w:val="16"/>
        </w:numPr>
        <w:spacing w:line="360" w:lineRule="auto"/>
        <w:ind w:firstLineChars="0"/>
        <w:rPr>
          <w:rFonts w:hint="eastAsia" w:ascii="宋体" w:hAnsi="宋体" w:eastAsia="宋体" w:cs="Arial"/>
          <w:kern w:val="21"/>
          <w:sz w:val="24"/>
        </w:rPr>
      </w:pPr>
      <w:r>
        <w:rPr>
          <w:rFonts w:hint="eastAsia" w:ascii="宋体" w:hAnsi="宋体" w:eastAsia="宋体" w:cs="Arial"/>
          <w:kern w:val="21"/>
          <w:sz w:val="24"/>
        </w:rPr>
        <w:t>黑色线—地线（</w:t>
      </w:r>
      <w:r>
        <w:rPr>
          <w:rFonts w:ascii="宋体" w:hAnsi="宋体" w:eastAsia="宋体" w:cs="Arial"/>
          <w:kern w:val="21"/>
          <w:sz w:val="24"/>
        </w:rPr>
        <w:t>GND</w:t>
      </w:r>
      <w:r>
        <w:rPr>
          <w:rFonts w:hint="eastAsia" w:ascii="宋体" w:hAnsi="宋体" w:eastAsia="宋体" w:cs="Arial"/>
          <w:kern w:val="21"/>
          <w:sz w:val="24"/>
        </w:rPr>
        <w:t>）</w:t>
      </w:r>
    </w:p>
    <w:p w14:paraId="1922C814">
      <w:pPr>
        <w:pStyle w:val="44"/>
        <w:numPr>
          <w:ilvl w:val="0"/>
          <w:numId w:val="16"/>
        </w:numPr>
        <w:spacing w:line="360" w:lineRule="auto"/>
        <w:ind w:firstLineChars="0"/>
        <w:rPr>
          <w:rFonts w:hint="eastAsia" w:ascii="宋体" w:hAnsi="宋体" w:eastAsia="宋体" w:cs="Arial"/>
          <w:kern w:val="21"/>
          <w:sz w:val="24"/>
        </w:rPr>
      </w:pPr>
      <w:r>
        <w:rPr>
          <w:rFonts w:hint="eastAsia" w:ascii="宋体" w:hAnsi="宋体" w:eastAsia="宋体" w:cs="Arial"/>
          <w:kern w:val="21"/>
          <w:sz w:val="24"/>
        </w:rPr>
        <w:t>蓝色线—</w:t>
      </w:r>
      <w:r>
        <w:rPr>
          <w:rFonts w:ascii="宋体" w:hAnsi="宋体" w:eastAsia="宋体" w:cs="Arial"/>
          <w:kern w:val="21"/>
          <w:sz w:val="24"/>
        </w:rPr>
        <w:t>485A</w:t>
      </w:r>
    </w:p>
    <w:p w14:paraId="66627843">
      <w:pPr>
        <w:pStyle w:val="44"/>
        <w:numPr>
          <w:ilvl w:val="0"/>
          <w:numId w:val="16"/>
        </w:numPr>
        <w:spacing w:line="360" w:lineRule="auto"/>
        <w:ind w:firstLineChars="0"/>
        <w:rPr>
          <w:rFonts w:hint="eastAsia" w:ascii="宋体" w:hAnsi="宋体" w:eastAsia="宋体" w:cs="Arial"/>
          <w:kern w:val="21"/>
          <w:sz w:val="24"/>
        </w:rPr>
      </w:pPr>
      <w:r>
        <w:rPr>
          <w:rFonts w:hint="eastAsia" w:ascii="宋体" w:hAnsi="宋体" w:eastAsia="宋体" w:cs="Arial"/>
          <w:kern w:val="21"/>
          <w:sz w:val="24"/>
        </w:rPr>
        <w:t>白色线—</w:t>
      </w:r>
      <w:r>
        <w:rPr>
          <w:rFonts w:ascii="宋体" w:hAnsi="宋体" w:eastAsia="宋体" w:cs="Arial"/>
          <w:kern w:val="21"/>
          <w:sz w:val="24"/>
        </w:rPr>
        <w:t>485B</w:t>
      </w:r>
    </w:p>
    <w:p w14:paraId="6AAC89BD">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 xml:space="preserve">接线说明：考虑到线缆长期浸泡在水中或暴露在空气中，所有接线处均要求做防水处理，线缆应具有一定的防腐蚀能力。 </w:t>
      </w:r>
    </w:p>
    <w:p w14:paraId="782D0AF9">
      <w:pPr>
        <w:pStyle w:val="6"/>
        <w:spacing w:before="0" w:after="0" w:line="360" w:lineRule="auto"/>
        <w:rPr>
          <w:rFonts w:hint="eastAsia" w:ascii="宋体" w:hAnsi="宋体" w:eastAsia="宋体" w:cs="Arial"/>
          <w:kern w:val="21"/>
          <w:sz w:val="24"/>
        </w:rPr>
      </w:pPr>
      <w:bookmarkStart w:id="213" w:name="_Toc175233362"/>
      <w:r>
        <w:rPr>
          <w:rFonts w:hint="eastAsia" w:ascii="宋体" w:hAnsi="宋体" w:eastAsia="宋体" w:cs="Arial"/>
          <w:kern w:val="21"/>
          <w:sz w:val="24"/>
        </w:rPr>
        <w:t>数据采集传输装置建设</w:t>
      </w:r>
      <w:bookmarkEnd w:id="213"/>
    </w:p>
    <w:p w14:paraId="730AE133">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数据采集传输装置共计安装14套。</w:t>
      </w:r>
    </w:p>
    <w:p w14:paraId="036E4D5A">
      <w:pPr>
        <w:spacing w:line="360" w:lineRule="auto"/>
        <w:ind w:firstLine="480" w:firstLineChars="200"/>
        <w:rPr>
          <w:rFonts w:hint="eastAsia" w:ascii="宋体" w:hAnsi="宋体" w:eastAsia="宋体" w:cs="宋体"/>
          <w:sz w:val="24"/>
        </w:rPr>
      </w:pPr>
      <w:r>
        <w:rPr>
          <w:rFonts w:hint="eastAsia" w:ascii="宋体" w:hAnsi="宋体" w:eastAsia="宋体" w:cs="Arial"/>
          <w:kern w:val="21"/>
          <w:sz w:val="24"/>
        </w:rPr>
        <w:t>数据采集传输装置</w:t>
      </w:r>
      <w:r>
        <w:rPr>
          <w:rFonts w:hint="eastAsia" w:ascii="宋体" w:hAnsi="宋体" w:eastAsia="宋体" w:cs="宋体"/>
          <w:sz w:val="24"/>
        </w:rPr>
        <w:t>内含处理器、无线通信模块，以太网通信模块，RS485通信模块，RS232模块，DO/DI模块，电源模块等。具备数据处理和数据采集传输功能，可以在本地对数据进行解析处理，实现边缘计算。</w:t>
      </w:r>
    </w:p>
    <w:p w14:paraId="399A37DC">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技术参数要求如下：</w:t>
      </w:r>
    </w:p>
    <w:p w14:paraId="6C5DB54E">
      <w:pPr>
        <w:pStyle w:val="65"/>
        <w:numPr>
          <w:ilvl w:val="0"/>
          <w:numId w:val="17"/>
        </w:numPr>
        <w:ind w:left="0" w:firstLine="480" w:firstLineChars="200"/>
        <w:contextualSpacing w:val="0"/>
        <w:rPr>
          <w:rFonts w:hint="eastAsia" w:ascii="宋体" w:cs="宋体"/>
          <w:sz w:val="24"/>
          <w:szCs w:val="24"/>
        </w:rPr>
      </w:pPr>
      <w:r>
        <w:rPr>
          <w:rFonts w:hint="eastAsia" w:ascii="宋体" w:cs="宋体"/>
          <w:sz w:val="24"/>
          <w:szCs w:val="24"/>
        </w:rPr>
        <w:t>工作电压：5-16V DC</w:t>
      </w:r>
    </w:p>
    <w:p w14:paraId="62016EFD">
      <w:pPr>
        <w:pStyle w:val="65"/>
        <w:numPr>
          <w:ilvl w:val="0"/>
          <w:numId w:val="17"/>
        </w:numPr>
        <w:ind w:left="0" w:firstLine="480" w:firstLineChars="200"/>
        <w:contextualSpacing w:val="0"/>
        <w:rPr>
          <w:rFonts w:hint="eastAsia" w:ascii="宋体" w:cs="宋体"/>
          <w:sz w:val="24"/>
          <w:szCs w:val="24"/>
        </w:rPr>
      </w:pPr>
      <w:r>
        <w:rPr>
          <w:rFonts w:hint="eastAsia" w:ascii="宋体" w:cs="宋体"/>
          <w:sz w:val="24"/>
          <w:szCs w:val="24"/>
        </w:rPr>
        <w:t>设备功耗：&lt;3W</w:t>
      </w:r>
    </w:p>
    <w:p w14:paraId="6C0BD146">
      <w:pPr>
        <w:pStyle w:val="65"/>
        <w:numPr>
          <w:ilvl w:val="0"/>
          <w:numId w:val="17"/>
        </w:numPr>
        <w:ind w:left="0" w:firstLine="480" w:firstLineChars="200"/>
        <w:contextualSpacing w:val="0"/>
        <w:rPr>
          <w:rFonts w:hint="eastAsia" w:ascii="宋体" w:cs="宋体"/>
          <w:sz w:val="24"/>
          <w:szCs w:val="24"/>
        </w:rPr>
      </w:pPr>
      <w:r>
        <w:rPr>
          <w:rFonts w:hint="eastAsia" w:ascii="宋体" w:cs="宋体"/>
          <w:sz w:val="24"/>
          <w:szCs w:val="24"/>
        </w:rPr>
        <w:t>RS485接口：1个</w:t>
      </w:r>
    </w:p>
    <w:p w14:paraId="1C6863D1">
      <w:pPr>
        <w:pStyle w:val="65"/>
        <w:numPr>
          <w:ilvl w:val="0"/>
          <w:numId w:val="17"/>
        </w:numPr>
        <w:ind w:left="0" w:firstLine="480" w:firstLineChars="200"/>
        <w:contextualSpacing w:val="0"/>
        <w:rPr>
          <w:rFonts w:hint="eastAsia" w:ascii="宋体" w:cs="宋体"/>
          <w:sz w:val="24"/>
          <w:szCs w:val="24"/>
        </w:rPr>
      </w:pPr>
      <w:r>
        <w:rPr>
          <w:rFonts w:hint="eastAsia" w:ascii="宋体" w:cs="宋体"/>
          <w:sz w:val="24"/>
          <w:szCs w:val="24"/>
        </w:rPr>
        <w:t>RS485波特率：1200、2400、4800、9600、19200、115200等常见波特率，默认9600</w:t>
      </w:r>
    </w:p>
    <w:p w14:paraId="6BCA064A">
      <w:pPr>
        <w:pStyle w:val="65"/>
        <w:numPr>
          <w:ilvl w:val="0"/>
          <w:numId w:val="17"/>
        </w:numPr>
        <w:ind w:left="0" w:firstLine="480" w:firstLineChars="200"/>
        <w:contextualSpacing w:val="0"/>
        <w:rPr>
          <w:rFonts w:hint="eastAsia" w:ascii="宋体" w:cs="宋体"/>
          <w:sz w:val="24"/>
          <w:szCs w:val="24"/>
        </w:rPr>
      </w:pPr>
      <w:r>
        <w:rPr>
          <w:rFonts w:hint="eastAsia" w:ascii="宋体" w:cs="宋体"/>
          <w:sz w:val="24"/>
          <w:szCs w:val="24"/>
        </w:rPr>
        <w:t>RS232接口：1个</w:t>
      </w:r>
    </w:p>
    <w:p w14:paraId="40603C05">
      <w:pPr>
        <w:pStyle w:val="44"/>
        <w:numPr>
          <w:ilvl w:val="0"/>
          <w:numId w:val="17"/>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支持8路常开2脚继电器输出(交流220V/5A，直流30V/5A继电器)</w:t>
      </w:r>
    </w:p>
    <w:p w14:paraId="46EB5E76">
      <w:pPr>
        <w:pStyle w:val="44"/>
        <w:numPr>
          <w:ilvl w:val="0"/>
          <w:numId w:val="17"/>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支持8路光耦隔离输入(3~30V电压检查)</w:t>
      </w:r>
    </w:p>
    <w:p w14:paraId="4E93BC1E">
      <w:pPr>
        <w:pStyle w:val="65"/>
        <w:numPr>
          <w:ilvl w:val="0"/>
          <w:numId w:val="17"/>
        </w:numPr>
        <w:ind w:left="0" w:firstLine="480" w:firstLineChars="200"/>
        <w:contextualSpacing w:val="0"/>
        <w:rPr>
          <w:rFonts w:hint="eastAsia" w:ascii="宋体" w:cs="宋体"/>
          <w:sz w:val="24"/>
          <w:szCs w:val="24"/>
        </w:rPr>
      </w:pPr>
      <w:r>
        <w:rPr>
          <w:rFonts w:hint="eastAsia" w:ascii="宋体" w:cs="宋体"/>
          <w:sz w:val="24"/>
          <w:szCs w:val="24"/>
        </w:rPr>
        <w:t>以太网接口：1个</w:t>
      </w:r>
    </w:p>
    <w:p w14:paraId="14A4B048">
      <w:pPr>
        <w:pStyle w:val="65"/>
        <w:numPr>
          <w:ilvl w:val="0"/>
          <w:numId w:val="17"/>
        </w:numPr>
        <w:ind w:left="0" w:firstLine="480" w:firstLineChars="200"/>
        <w:contextualSpacing w:val="0"/>
        <w:rPr>
          <w:rFonts w:hint="eastAsia" w:ascii="宋体" w:cs="宋体"/>
          <w:sz w:val="24"/>
          <w:szCs w:val="24"/>
        </w:rPr>
      </w:pPr>
      <w:r>
        <w:rPr>
          <w:rFonts w:hint="eastAsia" w:ascii="宋体" w:cs="宋体"/>
          <w:sz w:val="24"/>
          <w:szCs w:val="24"/>
        </w:rPr>
        <w:t>以太网速率：10M/100M</w:t>
      </w:r>
    </w:p>
    <w:p w14:paraId="0D0B646B">
      <w:pPr>
        <w:pStyle w:val="65"/>
        <w:numPr>
          <w:ilvl w:val="0"/>
          <w:numId w:val="17"/>
        </w:numPr>
        <w:ind w:left="0" w:firstLine="480" w:firstLineChars="200"/>
        <w:contextualSpacing w:val="0"/>
        <w:rPr>
          <w:rFonts w:hint="eastAsia" w:ascii="宋体" w:cs="宋体"/>
          <w:sz w:val="24"/>
          <w:szCs w:val="24"/>
        </w:rPr>
      </w:pPr>
      <w:r>
        <w:rPr>
          <w:rFonts w:hint="eastAsia" w:ascii="宋体" w:cs="宋体"/>
          <w:sz w:val="24"/>
          <w:szCs w:val="24"/>
        </w:rPr>
        <w:t>以太网网络协议：IP、TCP/UDP、ARP、ICMP、IPV4</w:t>
      </w:r>
    </w:p>
    <w:p w14:paraId="0918216F">
      <w:pPr>
        <w:pStyle w:val="65"/>
        <w:numPr>
          <w:ilvl w:val="0"/>
          <w:numId w:val="17"/>
        </w:numPr>
        <w:ind w:left="0" w:firstLine="480" w:firstLineChars="200"/>
        <w:contextualSpacing w:val="0"/>
        <w:rPr>
          <w:rFonts w:hint="eastAsia" w:ascii="宋体" w:cs="宋体"/>
          <w:sz w:val="24"/>
          <w:szCs w:val="24"/>
        </w:rPr>
      </w:pPr>
      <w:r>
        <w:rPr>
          <w:rFonts w:hint="eastAsia" w:ascii="宋体" w:cs="宋体"/>
          <w:sz w:val="24"/>
          <w:szCs w:val="24"/>
        </w:rPr>
        <w:t>以太网IP 获取方式：静态 IP、DHCP</w:t>
      </w:r>
    </w:p>
    <w:p w14:paraId="7DC75A84">
      <w:pPr>
        <w:pStyle w:val="65"/>
        <w:numPr>
          <w:ilvl w:val="0"/>
          <w:numId w:val="17"/>
        </w:numPr>
        <w:ind w:left="0" w:firstLine="480" w:firstLineChars="200"/>
        <w:contextualSpacing w:val="0"/>
        <w:rPr>
          <w:rFonts w:hint="eastAsia" w:ascii="宋体" w:cs="宋体"/>
          <w:sz w:val="24"/>
          <w:szCs w:val="24"/>
        </w:rPr>
      </w:pPr>
      <w:r>
        <w:rPr>
          <w:rFonts w:hint="eastAsia" w:ascii="宋体" w:cs="宋体"/>
          <w:sz w:val="24"/>
          <w:szCs w:val="24"/>
        </w:rPr>
        <w:t>以太网连接方式：</w:t>
      </w:r>
      <w:r>
        <w:rPr>
          <w:rFonts w:ascii="宋体" w:cs="宋体"/>
          <w:sz w:val="24"/>
          <w:szCs w:val="24"/>
        </w:rPr>
        <w:t>TCP Server/TCP Client/UDP Server/UDP Client</w:t>
      </w:r>
      <w:r>
        <w:rPr>
          <w:rFonts w:hint="eastAsia" w:ascii="宋体" w:cs="宋体"/>
          <w:sz w:val="24"/>
          <w:szCs w:val="24"/>
        </w:rPr>
        <w:t>/</w:t>
      </w:r>
      <w:r>
        <w:rPr>
          <w:rFonts w:ascii="宋体" w:cs="宋体"/>
          <w:sz w:val="24"/>
          <w:szCs w:val="24"/>
        </w:rPr>
        <w:t>Httpd Client</w:t>
      </w:r>
    </w:p>
    <w:p w14:paraId="63E866D2">
      <w:pPr>
        <w:pStyle w:val="65"/>
        <w:numPr>
          <w:ilvl w:val="0"/>
          <w:numId w:val="17"/>
        </w:numPr>
        <w:ind w:left="0" w:firstLine="480" w:firstLineChars="200"/>
        <w:contextualSpacing w:val="0"/>
        <w:rPr>
          <w:rFonts w:hint="eastAsia" w:ascii="宋体" w:cs="宋体"/>
          <w:sz w:val="24"/>
          <w:szCs w:val="24"/>
        </w:rPr>
      </w:pPr>
      <w:r>
        <w:rPr>
          <w:rFonts w:hint="eastAsia" w:ascii="宋体" w:cs="宋体"/>
          <w:sz w:val="24"/>
          <w:szCs w:val="24"/>
        </w:rPr>
        <w:t>无线通信方式：4G CAT1</w:t>
      </w:r>
    </w:p>
    <w:p w14:paraId="65BD83A4">
      <w:pPr>
        <w:pStyle w:val="65"/>
        <w:numPr>
          <w:ilvl w:val="0"/>
          <w:numId w:val="17"/>
        </w:numPr>
        <w:ind w:left="0" w:firstLine="480" w:firstLineChars="200"/>
        <w:contextualSpacing w:val="0"/>
        <w:rPr>
          <w:rFonts w:hint="eastAsia" w:ascii="宋体" w:cs="宋体"/>
          <w:sz w:val="24"/>
          <w:szCs w:val="24"/>
        </w:rPr>
      </w:pPr>
      <w:r>
        <w:rPr>
          <w:rFonts w:hint="eastAsia" w:ascii="宋体" w:cs="宋体"/>
          <w:sz w:val="24"/>
          <w:szCs w:val="24"/>
        </w:rPr>
        <w:t xml:space="preserve">支持频段：LTE-FDD： B1/B3/B5/B8     </w:t>
      </w:r>
    </w:p>
    <w:p w14:paraId="3270265C">
      <w:pPr>
        <w:pStyle w:val="65"/>
        <w:numPr>
          <w:ilvl w:val="0"/>
          <w:numId w:val="0"/>
        </w:numPr>
        <w:ind w:left="567" w:firstLine="1920" w:firstLineChars="800"/>
        <w:contextualSpacing w:val="0"/>
        <w:rPr>
          <w:rFonts w:hint="eastAsia" w:ascii="宋体" w:cs="宋体"/>
          <w:sz w:val="24"/>
          <w:szCs w:val="24"/>
        </w:rPr>
      </w:pPr>
      <w:r>
        <w:rPr>
          <w:rFonts w:hint="eastAsia" w:ascii="宋体" w:cs="宋体"/>
          <w:sz w:val="24"/>
          <w:szCs w:val="24"/>
        </w:rPr>
        <w:t>LTE-TDD： B34/B38/B39/B40/B41</w:t>
      </w:r>
    </w:p>
    <w:p w14:paraId="137C73F6">
      <w:pPr>
        <w:pStyle w:val="65"/>
        <w:numPr>
          <w:ilvl w:val="0"/>
          <w:numId w:val="17"/>
        </w:numPr>
        <w:ind w:left="0" w:firstLine="480" w:firstLineChars="200"/>
        <w:contextualSpacing w:val="0"/>
        <w:rPr>
          <w:rFonts w:hint="eastAsia" w:ascii="宋体" w:cs="宋体"/>
          <w:sz w:val="24"/>
          <w:szCs w:val="24"/>
        </w:rPr>
      </w:pPr>
      <w:r>
        <w:rPr>
          <w:rFonts w:hint="eastAsia" w:ascii="宋体" w:cs="宋体"/>
          <w:sz w:val="24"/>
          <w:szCs w:val="24"/>
        </w:rPr>
        <w:t>传输速率：</w:t>
      </w:r>
    </w:p>
    <w:p w14:paraId="2879645C">
      <w:pPr>
        <w:pStyle w:val="65"/>
        <w:numPr>
          <w:ilvl w:val="0"/>
          <w:numId w:val="0"/>
        </w:numPr>
        <w:ind w:left="482" w:firstLine="840" w:firstLineChars="350"/>
        <w:rPr>
          <w:rFonts w:hint="eastAsia" w:ascii="宋体" w:cs="宋体"/>
          <w:sz w:val="24"/>
          <w:szCs w:val="24"/>
        </w:rPr>
      </w:pPr>
      <w:r>
        <w:rPr>
          <w:rFonts w:hint="eastAsia" w:ascii="宋体" w:cs="宋体"/>
          <w:sz w:val="24"/>
          <w:szCs w:val="24"/>
        </w:rPr>
        <w:t xml:space="preserve">LTE-TDD: </w:t>
      </w:r>
    </w:p>
    <w:p w14:paraId="540BD58B">
      <w:pPr>
        <w:pStyle w:val="65"/>
        <w:numPr>
          <w:ilvl w:val="0"/>
          <w:numId w:val="0"/>
        </w:numPr>
        <w:ind w:left="482" w:firstLine="1200" w:firstLineChars="500"/>
        <w:contextualSpacing w:val="0"/>
        <w:rPr>
          <w:rFonts w:hint="eastAsia" w:ascii="宋体" w:cs="宋体"/>
          <w:sz w:val="24"/>
          <w:szCs w:val="24"/>
        </w:rPr>
      </w:pPr>
      <w:r>
        <w:rPr>
          <w:rFonts w:hint="eastAsia" w:ascii="宋体" w:cs="宋体"/>
          <w:sz w:val="24"/>
          <w:szCs w:val="24"/>
        </w:rPr>
        <w:t>上下行配比2   最大8Mbps(DL)/最大2Mbps(UL)</w:t>
      </w:r>
    </w:p>
    <w:p w14:paraId="650C1135">
      <w:pPr>
        <w:pStyle w:val="65"/>
        <w:numPr>
          <w:ilvl w:val="0"/>
          <w:numId w:val="0"/>
        </w:numPr>
        <w:ind w:left="482" w:firstLine="1200" w:firstLineChars="500"/>
        <w:contextualSpacing w:val="0"/>
        <w:rPr>
          <w:rFonts w:hint="eastAsia" w:ascii="宋体" w:cs="宋体"/>
          <w:sz w:val="24"/>
          <w:szCs w:val="24"/>
        </w:rPr>
      </w:pPr>
      <w:r>
        <w:rPr>
          <w:rFonts w:hint="eastAsia" w:ascii="宋体" w:cs="宋体"/>
          <w:sz w:val="24"/>
          <w:szCs w:val="24"/>
        </w:rPr>
        <w:t>上下行配比1   最大6Mbps(DL)/最大4Mbps(UL)</w:t>
      </w:r>
    </w:p>
    <w:p w14:paraId="1AFD04AF">
      <w:pPr>
        <w:pStyle w:val="65"/>
        <w:numPr>
          <w:ilvl w:val="0"/>
          <w:numId w:val="0"/>
        </w:numPr>
        <w:ind w:left="482" w:firstLine="840" w:firstLineChars="350"/>
        <w:rPr>
          <w:rFonts w:hint="eastAsia" w:ascii="宋体" w:cs="宋体"/>
          <w:sz w:val="24"/>
          <w:szCs w:val="24"/>
        </w:rPr>
      </w:pPr>
      <w:r>
        <w:rPr>
          <w:rFonts w:hint="eastAsia" w:ascii="宋体" w:cs="宋体"/>
          <w:sz w:val="24"/>
          <w:szCs w:val="24"/>
        </w:rPr>
        <w:t xml:space="preserve">LTE-FDD: </w:t>
      </w:r>
    </w:p>
    <w:p w14:paraId="77A96CA9">
      <w:pPr>
        <w:pStyle w:val="65"/>
        <w:numPr>
          <w:ilvl w:val="0"/>
          <w:numId w:val="0"/>
        </w:numPr>
        <w:ind w:left="482" w:firstLine="1200" w:firstLineChars="500"/>
        <w:contextualSpacing w:val="0"/>
        <w:rPr>
          <w:rFonts w:hint="eastAsia" w:ascii="宋体" w:cs="宋体"/>
          <w:sz w:val="24"/>
          <w:szCs w:val="24"/>
        </w:rPr>
      </w:pPr>
      <w:r>
        <w:rPr>
          <w:rFonts w:hint="eastAsia" w:ascii="宋体" w:cs="宋体"/>
          <w:sz w:val="24"/>
          <w:szCs w:val="24"/>
        </w:rPr>
        <w:t>最大10Mbps(DL)/最大5Mbps(UL)</w:t>
      </w:r>
    </w:p>
    <w:p w14:paraId="39BA8D5A">
      <w:pPr>
        <w:pStyle w:val="65"/>
        <w:numPr>
          <w:ilvl w:val="0"/>
          <w:numId w:val="17"/>
        </w:numPr>
        <w:ind w:left="0" w:firstLine="480" w:firstLineChars="200"/>
        <w:contextualSpacing w:val="0"/>
        <w:rPr>
          <w:rFonts w:hint="eastAsia" w:ascii="宋体" w:cs="宋体"/>
          <w:sz w:val="24"/>
          <w:szCs w:val="24"/>
        </w:rPr>
      </w:pPr>
      <w:r>
        <w:rPr>
          <w:rFonts w:hint="eastAsia" w:ascii="宋体" w:cs="宋体"/>
          <w:sz w:val="24"/>
          <w:szCs w:val="24"/>
        </w:rPr>
        <w:t>支持OTA在线升级</w:t>
      </w:r>
    </w:p>
    <w:p w14:paraId="44CD7635">
      <w:pPr>
        <w:pStyle w:val="65"/>
        <w:numPr>
          <w:ilvl w:val="0"/>
          <w:numId w:val="17"/>
        </w:numPr>
        <w:ind w:left="0" w:firstLine="480" w:firstLineChars="200"/>
        <w:contextualSpacing w:val="0"/>
        <w:rPr>
          <w:rFonts w:hint="eastAsia" w:ascii="宋体" w:cs="宋体"/>
          <w:sz w:val="24"/>
          <w:szCs w:val="24"/>
        </w:rPr>
      </w:pPr>
      <w:r>
        <w:rPr>
          <w:rFonts w:hint="eastAsia" w:ascii="宋体" w:cs="宋体"/>
          <w:sz w:val="24"/>
          <w:szCs w:val="24"/>
        </w:rPr>
        <w:t>支持输入电平周期上报和预警上报</w:t>
      </w:r>
    </w:p>
    <w:p w14:paraId="193CB828">
      <w:pPr>
        <w:pStyle w:val="65"/>
        <w:numPr>
          <w:ilvl w:val="0"/>
          <w:numId w:val="17"/>
        </w:numPr>
        <w:ind w:left="0" w:firstLine="480" w:firstLineChars="200"/>
        <w:contextualSpacing w:val="0"/>
        <w:rPr>
          <w:rFonts w:hint="eastAsia" w:ascii="宋体" w:cs="宋体"/>
          <w:sz w:val="24"/>
          <w:szCs w:val="24"/>
        </w:rPr>
      </w:pPr>
      <w:r>
        <w:rPr>
          <w:rFonts w:hint="eastAsia" w:ascii="宋体" w:cs="宋体"/>
          <w:sz w:val="24"/>
          <w:szCs w:val="24"/>
        </w:rPr>
        <w:t>支持定位信息周期上报</w:t>
      </w:r>
    </w:p>
    <w:p w14:paraId="49719565">
      <w:pPr>
        <w:pStyle w:val="6"/>
        <w:spacing w:before="0" w:after="0" w:line="360" w:lineRule="auto"/>
        <w:rPr>
          <w:rFonts w:hint="eastAsia" w:ascii="宋体" w:hAnsi="宋体" w:eastAsia="宋体" w:cs="Arial"/>
          <w:kern w:val="21"/>
          <w:sz w:val="24"/>
        </w:rPr>
      </w:pPr>
      <w:bookmarkStart w:id="214" w:name="_Toc175233363"/>
      <w:r>
        <w:rPr>
          <w:rFonts w:hint="eastAsia" w:ascii="宋体" w:hAnsi="宋体" w:eastAsia="宋体" w:cs="Arial"/>
          <w:kern w:val="21"/>
          <w:sz w:val="24"/>
        </w:rPr>
        <w:t>视频监控摄像头建设</w:t>
      </w:r>
      <w:bookmarkEnd w:id="214"/>
    </w:p>
    <w:p w14:paraId="257D2CBE">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400万日夜全彩的视频监控摄像头共计安装14套，分别与14套浑浊度光电自动监测设备绑定，24小时不间断监控摄像点附近水面情况并定时发送现场监控图片。</w:t>
      </w:r>
    </w:p>
    <w:p w14:paraId="4E2A41D3">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对视频监控摄像头的技术参数要求如下：</w:t>
      </w:r>
    </w:p>
    <w:p w14:paraId="462C1C76">
      <w:pPr>
        <w:pStyle w:val="44"/>
        <w:numPr>
          <w:ilvl w:val="0"/>
          <w:numId w:val="18"/>
        </w:numPr>
        <w:spacing w:line="360" w:lineRule="auto"/>
        <w:ind w:left="0" w:firstLine="480"/>
        <w:rPr>
          <w:rFonts w:hint="eastAsia" w:ascii="宋体" w:hAnsi="宋体" w:eastAsia="宋体" w:cs="Arial"/>
          <w:kern w:val="21"/>
          <w:sz w:val="24"/>
          <w:lang w:eastAsia="zh-Hans"/>
        </w:rPr>
      </w:pPr>
      <w:r>
        <w:rPr>
          <w:rFonts w:hint="eastAsia" w:ascii="宋体" w:hAnsi="宋体" w:eastAsia="宋体" w:cs="Arial"/>
          <w:kern w:val="21"/>
          <w:sz w:val="24"/>
          <w:lang w:eastAsia="zh-Hans"/>
        </w:rPr>
        <w:t>视频监控摄像头40</w:t>
      </w:r>
      <w:r>
        <w:rPr>
          <w:rFonts w:hint="eastAsia" w:ascii="宋体" w:hAnsi="宋体" w:eastAsia="宋体" w:cs="Arial"/>
          <w:kern w:val="21"/>
          <w:sz w:val="24"/>
        </w:rPr>
        <w:t>0</w:t>
      </w:r>
      <w:r>
        <w:rPr>
          <w:rFonts w:hint="eastAsia" w:ascii="宋体" w:hAnsi="宋体" w:eastAsia="宋体" w:cs="Arial"/>
          <w:kern w:val="21"/>
          <w:sz w:val="24"/>
          <w:lang w:eastAsia="zh-Hans"/>
        </w:rPr>
        <w:t>万像素，需要支持日夜转换，白天，夜晚，自动，定时切换</w:t>
      </w:r>
    </w:p>
    <w:p w14:paraId="254CA86C">
      <w:pPr>
        <w:pStyle w:val="44"/>
        <w:numPr>
          <w:ilvl w:val="0"/>
          <w:numId w:val="18"/>
        </w:numPr>
        <w:spacing w:line="360" w:lineRule="auto"/>
        <w:ind w:left="0" w:firstLine="480"/>
        <w:rPr>
          <w:rFonts w:hint="eastAsia" w:ascii="宋体" w:hAnsi="宋体" w:eastAsia="宋体" w:cs="Arial"/>
          <w:kern w:val="21"/>
          <w:sz w:val="24"/>
          <w:lang w:eastAsia="zh-Hans"/>
        </w:rPr>
      </w:pPr>
      <w:r>
        <w:rPr>
          <w:rFonts w:hint="eastAsia" w:ascii="宋体" w:hAnsi="宋体" w:eastAsia="宋体" w:cs="Arial"/>
          <w:kern w:val="21"/>
          <w:sz w:val="24"/>
          <w:lang w:eastAsia="zh-Hans"/>
        </w:rPr>
        <w:t>视频监控摄像头需要支持区域入侵侦测，越界侦测，进入区域侦测和离开区域侦等智能侦测</w:t>
      </w:r>
    </w:p>
    <w:p w14:paraId="08E5EAA4">
      <w:pPr>
        <w:pStyle w:val="44"/>
        <w:numPr>
          <w:ilvl w:val="0"/>
          <w:numId w:val="18"/>
        </w:numPr>
        <w:spacing w:line="360" w:lineRule="auto"/>
        <w:ind w:left="0" w:firstLine="480"/>
        <w:rPr>
          <w:rFonts w:hint="eastAsia" w:ascii="宋体" w:hAnsi="宋体" w:eastAsia="宋体" w:cs="Arial"/>
          <w:kern w:val="21"/>
          <w:sz w:val="24"/>
          <w:lang w:eastAsia="zh-Hans"/>
        </w:rPr>
      </w:pPr>
      <w:r>
        <w:rPr>
          <w:rFonts w:hint="eastAsia" w:ascii="宋体" w:hAnsi="宋体" w:eastAsia="宋体" w:cs="Arial"/>
          <w:kern w:val="21"/>
          <w:sz w:val="24"/>
          <w:lang w:eastAsia="zh-Hans"/>
        </w:rPr>
        <w:t>视频监控摄像头需要</w:t>
      </w:r>
      <w:r>
        <w:rPr>
          <w:rFonts w:ascii="宋体" w:hAnsi="宋体" w:eastAsia="宋体" w:cs="Arial"/>
          <w:kern w:val="21"/>
          <w:sz w:val="24"/>
          <w:lang w:eastAsia="zh-Hans"/>
        </w:rPr>
        <w:t>采用高效补光阵列，低功耗，红外补光100m</w:t>
      </w:r>
    </w:p>
    <w:p w14:paraId="776739EA">
      <w:pPr>
        <w:pStyle w:val="44"/>
        <w:numPr>
          <w:ilvl w:val="0"/>
          <w:numId w:val="18"/>
        </w:numPr>
        <w:spacing w:line="360" w:lineRule="auto"/>
        <w:ind w:left="0" w:firstLine="480"/>
        <w:rPr>
          <w:rFonts w:hint="eastAsia" w:ascii="宋体" w:hAnsi="宋体" w:eastAsia="宋体" w:cs="Arial"/>
          <w:kern w:val="21"/>
          <w:sz w:val="24"/>
          <w:lang w:eastAsia="zh-Hans"/>
        </w:rPr>
      </w:pPr>
      <w:r>
        <w:rPr>
          <w:rFonts w:hint="eastAsia" w:ascii="宋体" w:hAnsi="宋体" w:eastAsia="宋体" w:cs="Arial"/>
          <w:kern w:val="21"/>
          <w:sz w:val="24"/>
          <w:lang w:eastAsia="zh-Hans"/>
        </w:rPr>
        <w:t>视频监控摄像头需要</w:t>
      </w:r>
      <w:r>
        <w:rPr>
          <w:rFonts w:ascii="宋体" w:hAnsi="宋体" w:eastAsia="宋体" w:cs="Arial"/>
          <w:kern w:val="21"/>
          <w:sz w:val="24"/>
          <w:lang w:eastAsia="zh-Hans"/>
        </w:rPr>
        <w:t>内置加热玻璃，有效除雾</w:t>
      </w:r>
    </w:p>
    <w:p w14:paraId="4E25C9E2">
      <w:pPr>
        <w:pStyle w:val="44"/>
        <w:numPr>
          <w:ilvl w:val="0"/>
          <w:numId w:val="18"/>
        </w:numPr>
        <w:spacing w:line="360" w:lineRule="auto"/>
        <w:ind w:left="0" w:firstLine="480"/>
        <w:rPr>
          <w:rFonts w:hint="eastAsia" w:ascii="宋体" w:hAnsi="宋体" w:eastAsia="宋体" w:cs="Arial"/>
          <w:kern w:val="21"/>
          <w:sz w:val="24"/>
          <w:lang w:eastAsia="zh-Hans"/>
        </w:rPr>
      </w:pPr>
      <w:r>
        <w:rPr>
          <w:rFonts w:hint="eastAsia" w:ascii="宋体" w:hAnsi="宋体" w:eastAsia="宋体" w:cs="Arial"/>
          <w:kern w:val="21"/>
          <w:sz w:val="24"/>
          <w:lang w:eastAsia="zh-Hans"/>
        </w:rPr>
        <w:t>视频监控摄像头需要</w:t>
      </w:r>
      <w:r>
        <w:rPr>
          <w:rFonts w:ascii="宋体" w:hAnsi="宋体" w:eastAsia="宋体" w:cs="Arial"/>
          <w:kern w:val="21"/>
          <w:sz w:val="24"/>
          <w:lang w:eastAsia="zh-Hans"/>
        </w:rPr>
        <w:t>支持23倍光学变倍，16倍数字变倍</w:t>
      </w:r>
    </w:p>
    <w:p w14:paraId="1ABEB0F4">
      <w:pPr>
        <w:pStyle w:val="44"/>
        <w:numPr>
          <w:ilvl w:val="0"/>
          <w:numId w:val="18"/>
        </w:numPr>
        <w:spacing w:line="360" w:lineRule="auto"/>
        <w:ind w:left="0" w:firstLine="480"/>
        <w:rPr>
          <w:rFonts w:hint="eastAsia" w:ascii="宋体" w:hAnsi="宋体" w:eastAsia="宋体" w:cs="Arial"/>
          <w:kern w:val="21"/>
          <w:sz w:val="24"/>
          <w:lang w:eastAsia="zh-Hans"/>
        </w:rPr>
      </w:pPr>
      <w:r>
        <w:rPr>
          <w:rFonts w:hint="eastAsia" w:ascii="宋体" w:hAnsi="宋体" w:eastAsia="宋体" w:cs="Arial"/>
          <w:kern w:val="21"/>
          <w:sz w:val="24"/>
          <w:lang w:eastAsia="zh-Hans"/>
        </w:rPr>
        <w:t>视频监控摄像头需要</w:t>
      </w:r>
      <w:r>
        <w:rPr>
          <w:rFonts w:ascii="宋体" w:hAnsi="宋体" w:eastAsia="宋体" w:cs="Arial"/>
          <w:kern w:val="21"/>
          <w:sz w:val="24"/>
          <w:lang w:eastAsia="zh-Hans"/>
        </w:rPr>
        <w:t>支持三码流技术，每路码流可独立配置分辨率及帧率</w:t>
      </w:r>
    </w:p>
    <w:p w14:paraId="20974FEB">
      <w:pPr>
        <w:pStyle w:val="44"/>
        <w:numPr>
          <w:ilvl w:val="0"/>
          <w:numId w:val="18"/>
        </w:numPr>
        <w:spacing w:line="360" w:lineRule="auto"/>
        <w:ind w:left="0" w:firstLine="480"/>
        <w:rPr>
          <w:rFonts w:hint="eastAsia" w:ascii="宋体" w:hAnsi="宋体" w:eastAsia="宋体" w:cs="Arial"/>
          <w:kern w:val="21"/>
          <w:sz w:val="24"/>
          <w:lang w:eastAsia="zh-Hans"/>
        </w:rPr>
      </w:pPr>
      <w:r>
        <w:rPr>
          <w:rFonts w:hint="eastAsia" w:ascii="宋体" w:hAnsi="宋体" w:eastAsia="宋体" w:cs="Arial"/>
          <w:kern w:val="21"/>
          <w:sz w:val="24"/>
          <w:lang w:eastAsia="zh-Hans"/>
        </w:rPr>
        <w:t>视频监控摄像头需要</w:t>
      </w:r>
      <w:r>
        <w:rPr>
          <w:rFonts w:ascii="宋体" w:hAnsi="宋体" w:eastAsia="宋体" w:cs="Arial"/>
          <w:kern w:val="21"/>
          <w:sz w:val="24"/>
          <w:lang w:eastAsia="zh-Hans"/>
        </w:rPr>
        <w:t>支持定时抓图与事件抓图功能</w:t>
      </w:r>
    </w:p>
    <w:p w14:paraId="67E1A497">
      <w:pPr>
        <w:pStyle w:val="44"/>
        <w:numPr>
          <w:ilvl w:val="0"/>
          <w:numId w:val="18"/>
        </w:numPr>
        <w:spacing w:line="360" w:lineRule="auto"/>
        <w:ind w:left="0" w:firstLine="480"/>
        <w:rPr>
          <w:rFonts w:hint="eastAsia" w:ascii="宋体" w:hAnsi="宋体" w:eastAsia="宋体" w:cs="Arial"/>
          <w:kern w:val="21"/>
          <w:sz w:val="24"/>
          <w:lang w:eastAsia="zh-Hans"/>
        </w:rPr>
      </w:pPr>
      <w:r>
        <w:rPr>
          <w:rFonts w:hint="eastAsia" w:ascii="宋体" w:hAnsi="宋体" w:eastAsia="宋体" w:cs="Arial"/>
          <w:kern w:val="21"/>
          <w:sz w:val="24"/>
          <w:lang w:eastAsia="zh-Hans"/>
        </w:rPr>
        <w:t>视频监控摄像头需要</w:t>
      </w:r>
      <w:r>
        <w:rPr>
          <w:rFonts w:ascii="宋体" w:hAnsi="宋体" w:eastAsia="宋体" w:cs="Arial"/>
          <w:kern w:val="21"/>
          <w:sz w:val="24"/>
          <w:lang w:eastAsia="zh-Hans"/>
        </w:rPr>
        <w:t>支持定时任务，一键守望，一键巡航功能</w:t>
      </w:r>
    </w:p>
    <w:p w14:paraId="567413DD">
      <w:pPr>
        <w:pStyle w:val="44"/>
        <w:numPr>
          <w:ilvl w:val="0"/>
          <w:numId w:val="18"/>
        </w:numPr>
        <w:spacing w:line="360" w:lineRule="auto"/>
        <w:ind w:left="0" w:firstLine="480"/>
        <w:rPr>
          <w:rFonts w:hint="eastAsia" w:ascii="宋体" w:hAnsi="宋体" w:eastAsia="宋体" w:cs="Arial"/>
          <w:kern w:val="21"/>
          <w:sz w:val="24"/>
          <w:lang w:eastAsia="zh-Hans"/>
        </w:rPr>
      </w:pPr>
      <w:r>
        <w:rPr>
          <w:rFonts w:hint="eastAsia" w:ascii="宋体" w:hAnsi="宋体" w:eastAsia="宋体" w:cs="Arial"/>
          <w:kern w:val="21"/>
          <w:sz w:val="24"/>
          <w:lang w:eastAsia="zh-Hans"/>
        </w:rPr>
        <w:t>视频监控摄像头需要</w:t>
      </w:r>
      <w:r>
        <w:rPr>
          <w:rFonts w:ascii="宋体" w:hAnsi="宋体" w:eastAsia="宋体" w:cs="Arial"/>
          <w:kern w:val="21"/>
          <w:sz w:val="24"/>
          <w:lang w:eastAsia="zh-Hans"/>
        </w:rPr>
        <w:t>支持MicroSD卡存储</w:t>
      </w:r>
    </w:p>
    <w:p w14:paraId="3E2AEB6A">
      <w:pPr>
        <w:pStyle w:val="44"/>
        <w:numPr>
          <w:ilvl w:val="0"/>
          <w:numId w:val="18"/>
        </w:numPr>
        <w:spacing w:line="360" w:lineRule="auto"/>
        <w:ind w:left="0" w:firstLine="480"/>
        <w:rPr>
          <w:rFonts w:hint="eastAsia" w:ascii="宋体" w:hAnsi="宋体" w:eastAsia="宋体" w:cs="Arial"/>
          <w:kern w:val="21"/>
          <w:sz w:val="24"/>
          <w:lang w:eastAsia="zh-Hans"/>
        </w:rPr>
      </w:pPr>
      <w:r>
        <w:rPr>
          <w:rFonts w:hint="eastAsia" w:ascii="宋体" w:hAnsi="宋体" w:eastAsia="宋体" w:cs="Arial"/>
          <w:kern w:val="21"/>
          <w:sz w:val="24"/>
          <w:lang w:eastAsia="zh-Hans"/>
        </w:rPr>
        <w:t>视频监控摄像头需要</w:t>
      </w:r>
      <w:r>
        <w:rPr>
          <w:rFonts w:ascii="宋体" w:hAnsi="宋体" w:eastAsia="宋体" w:cs="Arial"/>
          <w:kern w:val="21"/>
          <w:sz w:val="24"/>
          <w:lang w:eastAsia="zh-Hans"/>
        </w:rPr>
        <w:t>抗干扰能力强，</w:t>
      </w:r>
      <w:r>
        <w:rPr>
          <w:rFonts w:hint="eastAsia" w:ascii="宋体" w:hAnsi="宋体" w:eastAsia="宋体" w:cs="Arial"/>
          <w:kern w:val="21"/>
          <w:sz w:val="24"/>
          <w:lang w:eastAsia="zh-Hans"/>
        </w:rPr>
        <w:t>可</w:t>
      </w:r>
      <w:r>
        <w:rPr>
          <w:rFonts w:ascii="宋体" w:hAnsi="宋体" w:eastAsia="宋体" w:cs="Arial"/>
          <w:kern w:val="21"/>
          <w:sz w:val="24"/>
          <w:lang w:eastAsia="zh-Hans"/>
        </w:rPr>
        <w:t>适用于严酷的电磁环境，符合GB/T17626.2/3/4/5/6四级标准</w:t>
      </w:r>
    </w:p>
    <w:p w14:paraId="0F960B17">
      <w:pPr>
        <w:pStyle w:val="6"/>
        <w:spacing w:before="0" w:after="0" w:line="360" w:lineRule="auto"/>
        <w:rPr>
          <w:rFonts w:hint="eastAsia" w:ascii="宋体" w:hAnsi="宋体" w:eastAsia="宋体" w:cs="Arial"/>
          <w:kern w:val="21"/>
          <w:sz w:val="24"/>
        </w:rPr>
      </w:pPr>
      <w:bookmarkStart w:id="215" w:name="_Toc175233364"/>
      <w:r>
        <w:rPr>
          <w:rFonts w:hint="eastAsia" w:ascii="宋体" w:hAnsi="宋体" w:eastAsia="宋体" w:cs="Arial"/>
          <w:kern w:val="21"/>
          <w:sz w:val="24"/>
        </w:rPr>
        <w:t>视频联动算法装置建设</w:t>
      </w:r>
      <w:bookmarkEnd w:id="215"/>
    </w:p>
    <w:p w14:paraId="4CE7F9F9">
      <w:pPr>
        <w:spacing w:line="360" w:lineRule="auto"/>
        <w:ind w:firstLine="480" w:firstLineChars="200"/>
        <w:rPr>
          <w:rFonts w:ascii="宋体" w:hAnsi="宋体" w:eastAsia="宋体" w:cs="Arial"/>
          <w:kern w:val="21"/>
          <w:sz w:val="24"/>
        </w:rPr>
      </w:pPr>
      <w:r>
        <w:rPr>
          <w:rFonts w:hint="eastAsia" w:ascii="宋体" w:hAnsi="宋体" w:eastAsia="宋体" w:cs="Arial"/>
          <w:kern w:val="21"/>
          <w:sz w:val="24"/>
        </w:rPr>
        <w:t>视频联动算法装置共计安装14套。</w:t>
      </w:r>
    </w:p>
    <w:p w14:paraId="0A343312">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在监控室终端为摄像头配置视频联动算法装置，当浑浊度光电自动监测设备发现水质异常时，立即联动绑定的视频监控摄像头，实时拍摄现场图片发送至平台并将报警信息推送给相关的管理人员，报警画面可视化，管理人员可直接从软件平台上确认现场情况。</w:t>
      </w:r>
    </w:p>
    <w:p w14:paraId="0F97F87B">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视频联动算法装置的技术参数要求如下：</w:t>
      </w:r>
    </w:p>
    <w:p w14:paraId="54245056">
      <w:pPr>
        <w:pStyle w:val="44"/>
        <w:numPr>
          <w:ilvl w:val="0"/>
          <w:numId w:val="19"/>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内置报警消息订阅服务功能</w:t>
      </w:r>
    </w:p>
    <w:p w14:paraId="102AE24A">
      <w:pPr>
        <w:pStyle w:val="44"/>
        <w:numPr>
          <w:ilvl w:val="0"/>
          <w:numId w:val="19"/>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多线程视频监控连接</w:t>
      </w:r>
    </w:p>
    <w:p w14:paraId="5837EBB3">
      <w:pPr>
        <w:pStyle w:val="44"/>
        <w:numPr>
          <w:ilvl w:val="0"/>
          <w:numId w:val="19"/>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支持HTTP,HTTPS协议告警推送</w:t>
      </w:r>
    </w:p>
    <w:p w14:paraId="745A226B">
      <w:pPr>
        <w:pStyle w:val="44"/>
        <w:numPr>
          <w:ilvl w:val="0"/>
          <w:numId w:val="19"/>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视频联动上报时间：≤10秒</w:t>
      </w:r>
    </w:p>
    <w:p w14:paraId="40E74E65">
      <w:pPr>
        <w:pStyle w:val="44"/>
        <w:numPr>
          <w:ilvl w:val="0"/>
          <w:numId w:val="19"/>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智能图像联动抓取服务</w:t>
      </w:r>
    </w:p>
    <w:p w14:paraId="04B74559">
      <w:pPr>
        <w:pStyle w:val="44"/>
        <w:numPr>
          <w:ilvl w:val="0"/>
          <w:numId w:val="19"/>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可与接入到软件平台所有终端进行联动</w:t>
      </w:r>
    </w:p>
    <w:p w14:paraId="05EC13D8">
      <w:pPr>
        <w:pStyle w:val="44"/>
        <w:numPr>
          <w:ilvl w:val="0"/>
          <w:numId w:val="19"/>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支持RTSP,HLS,RTMP等视频流接入</w:t>
      </w:r>
    </w:p>
    <w:p w14:paraId="4CC1F4E6">
      <w:pPr>
        <w:pStyle w:val="44"/>
        <w:numPr>
          <w:ilvl w:val="0"/>
          <w:numId w:val="19"/>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本地报警日志存储</w:t>
      </w:r>
    </w:p>
    <w:p w14:paraId="47DCF492">
      <w:pPr>
        <w:pStyle w:val="6"/>
        <w:spacing w:before="0" w:after="0" w:line="360" w:lineRule="auto"/>
        <w:rPr>
          <w:rFonts w:hint="eastAsia" w:ascii="宋体" w:hAnsi="宋体" w:eastAsia="宋体"/>
          <w:sz w:val="24"/>
        </w:rPr>
      </w:pPr>
      <w:bookmarkStart w:id="216" w:name="_Toc175233365"/>
      <w:r>
        <w:rPr>
          <w:rFonts w:hint="eastAsia" w:ascii="宋体" w:hAnsi="宋体" w:eastAsia="宋体"/>
          <w:sz w:val="24"/>
        </w:rPr>
        <w:t>无线网关建设</w:t>
      </w:r>
      <w:bookmarkEnd w:id="216"/>
    </w:p>
    <w:p w14:paraId="029F56CA">
      <w:pPr>
        <w:spacing w:line="360" w:lineRule="auto"/>
        <w:ind w:firstLine="480" w:firstLineChars="200"/>
        <w:rPr>
          <w:rFonts w:hint="eastAsia" w:ascii="宋体" w:hAnsi="宋体" w:eastAsia="宋体" w:cs="Arial"/>
          <w:kern w:val="21"/>
          <w:sz w:val="24"/>
        </w:rPr>
      </w:pPr>
      <w:r>
        <w:rPr>
          <w:rFonts w:hint="eastAsia" w:ascii="宋体" w:hAnsi="宋体" w:eastAsia="宋体"/>
          <w:sz w:val="24"/>
          <w:lang w:val="zh-CN"/>
        </w:rPr>
        <w:t>无线网关</w:t>
      </w:r>
      <w:r>
        <w:rPr>
          <w:rFonts w:hint="eastAsia" w:ascii="宋体" w:hAnsi="宋体" w:eastAsia="宋体" w:cs="Arial"/>
          <w:kern w:val="21"/>
          <w:sz w:val="24"/>
        </w:rPr>
        <w:t>共计安装14套</w:t>
      </w:r>
      <w:r>
        <w:rPr>
          <w:rFonts w:hint="eastAsia" w:ascii="宋体" w:hAnsi="宋体" w:eastAsia="宋体"/>
          <w:sz w:val="24"/>
          <w:lang w:val="zh-CN"/>
        </w:rPr>
        <w:t>。</w:t>
      </w:r>
    </w:p>
    <w:p w14:paraId="35D13D61">
      <w:pPr>
        <w:spacing w:line="360" w:lineRule="auto"/>
        <w:ind w:firstLine="480" w:firstLineChars="200"/>
        <w:rPr>
          <w:rFonts w:hint="eastAsia" w:ascii="宋体" w:hAnsi="宋体" w:eastAsia="宋体"/>
          <w:sz w:val="24"/>
          <w:lang w:val="zh-CN"/>
        </w:rPr>
      </w:pPr>
      <w:r>
        <w:rPr>
          <w:rFonts w:hint="eastAsia" w:ascii="宋体" w:hAnsi="宋体" w:eastAsia="宋体"/>
          <w:sz w:val="24"/>
        </w:rPr>
        <w:t>无线</w:t>
      </w:r>
      <w:r>
        <w:rPr>
          <w:rFonts w:hint="eastAsia" w:ascii="宋体" w:hAnsi="宋体" w:eastAsia="宋体"/>
          <w:sz w:val="24"/>
          <w:lang w:val="zh-CN"/>
        </w:rPr>
        <w:t>网关采用云组网技术，不受网络限制，快速组建异地虚拟局域网，实现两端网内电脑、手机、服务器的互联互通，共享文档、图片、音频、视频、数据库等重要信息。</w:t>
      </w:r>
    </w:p>
    <w:p w14:paraId="372C7C58">
      <w:pPr>
        <w:spacing w:line="360" w:lineRule="auto"/>
        <w:ind w:firstLine="480" w:firstLineChars="200"/>
        <w:rPr>
          <w:rFonts w:hint="eastAsia" w:ascii="宋体" w:hAnsi="宋体" w:eastAsia="宋体"/>
          <w:sz w:val="24"/>
          <w:lang w:val="zh-CN"/>
        </w:rPr>
      </w:pPr>
      <w:r>
        <w:rPr>
          <w:rFonts w:hint="eastAsia" w:ascii="宋体" w:hAnsi="宋体" w:eastAsia="宋体"/>
          <w:sz w:val="24"/>
          <w:lang w:val="zh-CN"/>
        </w:rPr>
        <w:t>采用钣金外壳有利于散热，支持DIN35mm轨道安装，提供5-36V 宽压输入，采用IP30 防护等级，广泛应用在户外场所，满足严酷工业环境下的苛刻要求。</w:t>
      </w:r>
    </w:p>
    <w:p w14:paraId="40AB1F19">
      <w:pPr>
        <w:pStyle w:val="44"/>
        <w:numPr>
          <w:ilvl w:val="0"/>
          <w:numId w:val="20"/>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以太网接口：百兆网口*2</w:t>
      </w:r>
    </w:p>
    <w:p w14:paraId="7FD4E7D5">
      <w:pPr>
        <w:pStyle w:val="44"/>
        <w:numPr>
          <w:ilvl w:val="0"/>
          <w:numId w:val="20"/>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串行接口：RS232，RS485</w:t>
      </w:r>
    </w:p>
    <w:p w14:paraId="25CEC9D8">
      <w:pPr>
        <w:pStyle w:val="44"/>
        <w:numPr>
          <w:ilvl w:val="0"/>
          <w:numId w:val="20"/>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支持DI/DO</w:t>
      </w:r>
    </w:p>
    <w:p w14:paraId="092239DD">
      <w:pPr>
        <w:pStyle w:val="44"/>
        <w:numPr>
          <w:ilvl w:val="0"/>
          <w:numId w:val="20"/>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支持双SIM卡接入</w:t>
      </w:r>
    </w:p>
    <w:p w14:paraId="01129753">
      <w:pPr>
        <w:pStyle w:val="44"/>
        <w:numPr>
          <w:ilvl w:val="0"/>
          <w:numId w:val="20"/>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LTE：全网通，联通、移动、电信均支持</w:t>
      </w:r>
    </w:p>
    <w:p w14:paraId="311E81A9">
      <w:pPr>
        <w:pStyle w:val="3"/>
        <w:spacing w:before="0" w:after="0" w:line="360" w:lineRule="auto"/>
        <w:rPr>
          <w:rFonts w:hint="eastAsia" w:ascii="宋体" w:hAnsi="宋体" w:eastAsia="宋体"/>
          <w:sz w:val="28"/>
          <w:szCs w:val="28"/>
        </w:rPr>
      </w:pPr>
      <w:bookmarkStart w:id="217" w:name="_Toc173574207"/>
      <w:bookmarkStart w:id="218" w:name="_Toc175233366"/>
      <w:bookmarkStart w:id="219" w:name="_Toc153281608"/>
      <w:r>
        <w:rPr>
          <w:rFonts w:hint="eastAsia" w:ascii="宋体" w:hAnsi="宋体" w:eastAsia="宋体"/>
          <w:sz w:val="28"/>
          <w:szCs w:val="28"/>
        </w:rPr>
        <w:t>水源地视频监控及算法自动报警</w:t>
      </w:r>
      <w:bookmarkEnd w:id="217"/>
      <w:bookmarkEnd w:id="218"/>
      <w:bookmarkEnd w:id="219"/>
    </w:p>
    <w:p w14:paraId="7A60F720">
      <w:pPr>
        <w:spacing w:line="360" w:lineRule="auto"/>
        <w:ind w:firstLine="480" w:firstLineChars="200"/>
        <w:rPr>
          <w:rFonts w:hint="eastAsia" w:ascii="宋体" w:hAnsi="宋体" w:eastAsia="宋体" w:cs="Arial"/>
          <w:kern w:val="21"/>
          <w:sz w:val="24"/>
          <w:shd w:val="clear" w:color="auto" w:fill="FFFFFF" w:themeFill="background1"/>
        </w:rPr>
      </w:pPr>
      <w:r>
        <w:rPr>
          <w:rFonts w:hint="eastAsia" w:ascii="宋体" w:hAnsi="宋体" w:eastAsia="宋体" w:cs="Arial"/>
          <w:kern w:val="21"/>
          <w:sz w:val="24"/>
          <w:shd w:val="clear" w:color="auto" w:fill="FFFFFF" w:themeFill="background1"/>
        </w:rPr>
        <w:t>湟中区14处千吨万人供水工程水源地需配置实时监控设备、视频监控摄像头和视频联动报警装置，以补充完备农村供水工程正常运行安全保障措施。</w:t>
      </w:r>
    </w:p>
    <w:p w14:paraId="073467F1">
      <w:pPr>
        <w:pStyle w:val="6"/>
        <w:spacing w:before="0" w:after="0" w:line="360" w:lineRule="auto"/>
        <w:rPr>
          <w:rFonts w:hint="eastAsia" w:ascii="宋体" w:hAnsi="宋体" w:eastAsia="宋体"/>
          <w:sz w:val="24"/>
        </w:rPr>
      </w:pPr>
      <w:bookmarkStart w:id="220" w:name="_Toc175233367"/>
      <w:r>
        <w:rPr>
          <w:rFonts w:hint="eastAsia" w:ascii="宋体" w:hAnsi="宋体" w:eastAsia="宋体"/>
          <w:sz w:val="24"/>
        </w:rPr>
        <w:t>警戒球机建设</w:t>
      </w:r>
      <w:bookmarkEnd w:id="220"/>
    </w:p>
    <w:p w14:paraId="31093355">
      <w:pPr>
        <w:spacing w:line="360" w:lineRule="auto"/>
        <w:ind w:firstLine="480" w:firstLineChars="200"/>
        <w:rPr>
          <w:rFonts w:ascii="宋体" w:hAnsi="宋体" w:eastAsia="宋体"/>
          <w:sz w:val="24"/>
          <w:lang w:val="zh-CN"/>
        </w:rPr>
      </w:pPr>
      <w:r>
        <w:rPr>
          <w:rFonts w:hint="eastAsia" w:ascii="宋体" w:hAnsi="宋体" w:eastAsia="宋体"/>
          <w:sz w:val="24"/>
          <w:lang w:val="zh-CN"/>
        </w:rPr>
        <w:t>警戒球机</w:t>
      </w:r>
      <w:r>
        <w:rPr>
          <w:rFonts w:hint="eastAsia" w:ascii="宋体" w:hAnsi="宋体" w:eastAsia="宋体" w:cs="Arial"/>
          <w:kern w:val="21"/>
          <w:sz w:val="24"/>
        </w:rPr>
        <w:t>共计安装15套。</w:t>
      </w:r>
    </w:p>
    <w:p w14:paraId="00844B04">
      <w:pPr>
        <w:spacing w:line="360" w:lineRule="auto"/>
        <w:ind w:firstLine="480" w:firstLineChars="200"/>
        <w:rPr>
          <w:rFonts w:hint="eastAsia" w:ascii="宋体" w:hAnsi="宋体" w:eastAsia="宋体"/>
          <w:sz w:val="24"/>
          <w:lang w:val="zh-CN"/>
        </w:rPr>
      </w:pPr>
      <w:r>
        <w:rPr>
          <w:rFonts w:hint="eastAsia" w:ascii="宋体" w:hAnsi="宋体" w:eastAsia="宋体"/>
          <w:sz w:val="24"/>
          <w:lang w:val="zh-CN"/>
        </w:rPr>
        <w:t>对于非法活动的监测可以发现和打击水水源地的</w:t>
      </w:r>
      <w:r>
        <w:rPr>
          <w:rFonts w:hint="eastAsia" w:ascii="宋体" w:hAnsi="宋体" w:eastAsia="宋体" w:cs="Arial"/>
          <w:kern w:val="21"/>
          <w:sz w:val="24"/>
        </w:rPr>
        <w:t>漂浮物、船只、河岸垃圾、违建等</w:t>
      </w:r>
      <w:r>
        <w:rPr>
          <w:rFonts w:hint="eastAsia" w:ascii="宋体" w:hAnsi="宋体" w:eastAsia="宋体"/>
          <w:sz w:val="24"/>
          <w:lang w:val="zh-CN"/>
        </w:rPr>
        <w:t>行为。及时处理非法活动，可以维护水源地安全稳定运行。</w:t>
      </w:r>
    </w:p>
    <w:p w14:paraId="6E3E9059">
      <w:pPr>
        <w:spacing w:line="360" w:lineRule="auto"/>
        <w:ind w:firstLine="480" w:firstLineChars="200"/>
        <w:rPr>
          <w:rFonts w:hint="eastAsia" w:ascii="宋体" w:hAnsi="宋体" w:eastAsia="宋体"/>
          <w:sz w:val="24"/>
        </w:rPr>
      </w:pPr>
      <w:r>
        <w:rPr>
          <w:rFonts w:hint="eastAsia" w:ascii="宋体" w:hAnsi="宋体" w:eastAsia="宋体"/>
          <w:sz w:val="24"/>
          <w:lang w:val="zh-CN"/>
        </w:rPr>
        <w:t>通过布防摄像头监测</w:t>
      </w:r>
      <w:r>
        <w:rPr>
          <w:rFonts w:hint="eastAsia" w:ascii="宋体" w:hAnsi="宋体" w:eastAsia="宋体"/>
          <w:sz w:val="24"/>
        </w:rPr>
        <w:t>水源地内各种存在明显特征要素的非法活动，包括</w:t>
      </w:r>
      <w:r>
        <w:rPr>
          <w:rFonts w:hint="eastAsia" w:ascii="宋体" w:hAnsi="宋体" w:eastAsia="宋体" w:cs="Arial"/>
          <w:kern w:val="21"/>
          <w:sz w:val="24"/>
        </w:rPr>
        <w:t>漂浮物、船只、河岸垃圾、违建</w:t>
      </w:r>
      <w:r>
        <w:rPr>
          <w:rFonts w:hint="eastAsia" w:ascii="宋体" w:hAnsi="宋体" w:eastAsia="宋体"/>
          <w:sz w:val="24"/>
        </w:rPr>
        <w:t>等，需要及时发出告警信息，便于管理人员处置、取证。同时，需要对非法活动进行语音对讲及劝离。</w:t>
      </w:r>
    </w:p>
    <w:p w14:paraId="71349380">
      <w:pPr>
        <w:spacing w:line="360" w:lineRule="auto"/>
        <w:ind w:firstLine="480" w:firstLineChars="200"/>
        <w:rPr>
          <w:rFonts w:hint="eastAsia" w:ascii="宋体" w:hAnsi="宋体" w:eastAsia="宋体"/>
          <w:sz w:val="24"/>
        </w:rPr>
      </w:pPr>
      <w:r>
        <w:rPr>
          <w:rFonts w:hint="eastAsia" w:ascii="宋体" w:hAnsi="宋体" w:eastAsia="宋体"/>
          <w:sz w:val="24"/>
        </w:rPr>
        <w:t>摄像头能实时监控水源地内各种现场活动，当出现报警时，支持常亮光束警示和强声提醒。</w:t>
      </w:r>
    </w:p>
    <w:p w14:paraId="090B93E8">
      <w:pPr>
        <w:spacing w:line="360" w:lineRule="auto"/>
        <w:rPr>
          <w:rFonts w:hint="eastAsia" w:ascii="宋体" w:hAnsi="宋体" w:eastAsia="宋体"/>
          <w:sz w:val="24"/>
          <w:lang w:val="zh-CN"/>
        </w:rPr>
      </w:pPr>
      <w:r>
        <w:rPr>
          <w:rFonts w:ascii="宋体" w:hAnsi="宋体" w:eastAsia="宋体"/>
          <w:sz w:val="24"/>
        </w:rPr>
        <w:drawing>
          <wp:inline distT="0" distB="0" distL="114300" distR="114300">
            <wp:extent cx="5264150" cy="3553460"/>
            <wp:effectExtent l="0" t="0" r="8890" b="12700"/>
            <wp:docPr id="3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5"/>
                    <pic:cNvPicPr>
                      <a:picLocks noChangeAspect="1"/>
                    </pic:cNvPicPr>
                  </pic:nvPicPr>
                  <pic:blipFill>
                    <a:blip r:embed="rId43"/>
                    <a:stretch>
                      <a:fillRect/>
                    </a:stretch>
                  </pic:blipFill>
                  <pic:spPr>
                    <a:xfrm>
                      <a:off x="0" y="0"/>
                      <a:ext cx="5264150" cy="3553460"/>
                    </a:xfrm>
                    <a:prstGeom prst="rect">
                      <a:avLst/>
                    </a:prstGeom>
                    <a:noFill/>
                    <a:ln>
                      <a:noFill/>
                    </a:ln>
                  </pic:spPr>
                </pic:pic>
              </a:graphicData>
            </a:graphic>
          </wp:inline>
        </w:drawing>
      </w:r>
    </w:p>
    <w:p w14:paraId="1C35EF3E">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lang w:eastAsia="zh-Hans"/>
        </w:rPr>
        <w:t>对</w:t>
      </w:r>
      <w:r>
        <w:rPr>
          <w:rFonts w:hint="eastAsia" w:ascii="宋体" w:hAnsi="宋体" w:eastAsia="宋体"/>
          <w:sz w:val="24"/>
          <w:lang w:val="zh-CN"/>
        </w:rPr>
        <w:t>警戒球机</w:t>
      </w:r>
      <w:r>
        <w:rPr>
          <w:rFonts w:hint="eastAsia" w:ascii="宋体" w:hAnsi="宋体" w:eastAsia="宋体" w:cs="Arial"/>
          <w:kern w:val="21"/>
          <w:sz w:val="24"/>
          <w:lang w:eastAsia="zh-Hans"/>
        </w:rPr>
        <w:t>的参数要求如下：</w:t>
      </w:r>
    </w:p>
    <w:p w14:paraId="5C27EDB2">
      <w:pPr>
        <w:pStyle w:val="44"/>
        <w:numPr>
          <w:ilvl w:val="0"/>
          <w:numId w:val="21"/>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支持400万高清像素</w:t>
      </w:r>
    </w:p>
    <w:p w14:paraId="02D6AD25">
      <w:pPr>
        <w:pStyle w:val="44"/>
        <w:numPr>
          <w:ilvl w:val="0"/>
          <w:numId w:val="21"/>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采用毫米波雷达技术，分辨率更高，检测性能更稳定，不受光照、雨雪、灰尘、水雾等恶劣环境的影响</w:t>
      </w:r>
    </w:p>
    <w:p w14:paraId="00BD1201">
      <w:pPr>
        <w:pStyle w:val="44"/>
        <w:numPr>
          <w:ilvl w:val="0"/>
          <w:numId w:val="21"/>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支持水位监测，监测范围</w:t>
      </w:r>
      <w:r>
        <w:rPr>
          <w:rFonts w:ascii="宋体" w:hAnsi="宋体" w:eastAsia="宋体" w:cs="Arial"/>
          <w:kern w:val="21"/>
          <w:sz w:val="24"/>
        </w:rPr>
        <w:t>0.15~15</w:t>
      </w:r>
      <w:r>
        <w:rPr>
          <w:rFonts w:hint="eastAsia" w:ascii="宋体" w:hAnsi="宋体" w:eastAsia="宋体" w:cs="Arial"/>
          <w:kern w:val="21"/>
          <w:sz w:val="24"/>
        </w:rPr>
        <w:t>米，水位精度±</w:t>
      </w:r>
      <w:r>
        <w:rPr>
          <w:rFonts w:ascii="宋体" w:hAnsi="宋体" w:eastAsia="宋体" w:cs="Arial"/>
          <w:kern w:val="21"/>
          <w:sz w:val="24"/>
        </w:rPr>
        <w:t>1mm</w:t>
      </w:r>
    </w:p>
    <w:p w14:paraId="70684E42">
      <w:pPr>
        <w:pStyle w:val="44"/>
        <w:numPr>
          <w:ilvl w:val="0"/>
          <w:numId w:val="21"/>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支持对接</w:t>
      </w:r>
      <w:r>
        <w:rPr>
          <w:rFonts w:ascii="宋体" w:hAnsi="宋体" w:eastAsia="宋体" w:cs="Arial"/>
          <w:kern w:val="21"/>
          <w:sz w:val="24"/>
        </w:rPr>
        <w:t>AI</w:t>
      </w:r>
      <w:r>
        <w:rPr>
          <w:rFonts w:hint="eastAsia" w:ascii="宋体" w:hAnsi="宋体" w:eastAsia="宋体" w:cs="Arial"/>
          <w:kern w:val="21"/>
          <w:sz w:val="24"/>
        </w:rPr>
        <w:t>开放平台，可远程部署算法</w:t>
      </w:r>
    </w:p>
    <w:p w14:paraId="6C8F3D05">
      <w:pPr>
        <w:pStyle w:val="44"/>
        <w:numPr>
          <w:ilvl w:val="0"/>
          <w:numId w:val="21"/>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支持全景路</w:t>
      </w:r>
      <w:r>
        <w:rPr>
          <w:rFonts w:ascii="宋体" w:hAnsi="宋体" w:eastAsia="宋体" w:cs="Arial"/>
          <w:kern w:val="21"/>
          <w:sz w:val="24"/>
        </w:rPr>
        <w:t>2560×1440@30 fps</w:t>
      </w:r>
      <w:r>
        <w:rPr>
          <w:rFonts w:hint="eastAsia" w:ascii="宋体" w:hAnsi="宋体" w:eastAsia="宋体" w:cs="Arial"/>
          <w:kern w:val="21"/>
          <w:sz w:val="24"/>
        </w:rPr>
        <w:t>高清画面输出</w:t>
      </w:r>
    </w:p>
    <w:p w14:paraId="4E24C9FF">
      <w:pPr>
        <w:pStyle w:val="44"/>
        <w:numPr>
          <w:ilvl w:val="0"/>
          <w:numId w:val="21"/>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支持全彩画面，</w:t>
      </w:r>
      <w:r>
        <w:rPr>
          <w:rFonts w:ascii="宋体" w:hAnsi="宋体" w:eastAsia="宋体" w:cs="Arial"/>
          <w:kern w:val="21"/>
          <w:sz w:val="24"/>
        </w:rPr>
        <w:t>F1.0</w:t>
      </w:r>
      <w:r>
        <w:rPr>
          <w:rFonts w:hint="eastAsia" w:ascii="宋体" w:hAnsi="宋体" w:eastAsia="宋体" w:cs="Arial"/>
          <w:kern w:val="21"/>
          <w:sz w:val="24"/>
        </w:rPr>
        <w:t>大光圈</w:t>
      </w:r>
    </w:p>
    <w:p w14:paraId="74662C1A">
      <w:pPr>
        <w:pStyle w:val="44"/>
        <w:numPr>
          <w:ilvl w:val="0"/>
          <w:numId w:val="21"/>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支持</w:t>
      </w:r>
      <w:r>
        <w:rPr>
          <w:rFonts w:ascii="宋体" w:hAnsi="宋体" w:eastAsia="宋体" w:cs="Arial"/>
          <w:kern w:val="21"/>
          <w:sz w:val="24"/>
        </w:rPr>
        <w:t>H.265</w:t>
      </w:r>
      <w:r>
        <w:rPr>
          <w:rFonts w:hint="eastAsia" w:ascii="宋体" w:hAnsi="宋体" w:eastAsia="宋体" w:cs="Arial"/>
          <w:kern w:val="21"/>
          <w:sz w:val="24"/>
        </w:rPr>
        <w:t>高效压缩算法，可较大节省存储空间</w:t>
      </w:r>
    </w:p>
    <w:p w14:paraId="0EB6D3F0">
      <w:pPr>
        <w:pStyle w:val="44"/>
        <w:numPr>
          <w:ilvl w:val="0"/>
          <w:numId w:val="21"/>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采用白光补光，有效白光</w:t>
      </w:r>
      <w:r>
        <w:rPr>
          <w:rFonts w:ascii="宋体" w:hAnsi="宋体" w:eastAsia="宋体" w:cs="Arial"/>
          <w:kern w:val="21"/>
          <w:sz w:val="24"/>
        </w:rPr>
        <w:t>30</w:t>
      </w:r>
      <w:r>
        <w:rPr>
          <w:rFonts w:hint="eastAsia" w:ascii="宋体" w:hAnsi="宋体" w:eastAsia="宋体" w:cs="Arial"/>
          <w:kern w:val="21"/>
          <w:sz w:val="24"/>
        </w:rPr>
        <w:t>米</w:t>
      </w:r>
    </w:p>
    <w:p w14:paraId="16ED66A5">
      <w:pPr>
        <w:pStyle w:val="44"/>
        <w:numPr>
          <w:ilvl w:val="0"/>
          <w:numId w:val="21"/>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支持海康</w:t>
      </w:r>
      <w:r>
        <w:rPr>
          <w:rFonts w:ascii="宋体" w:hAnsi="宋体" w:eastAsia="宋体" w:cs="Arial"/>
          <w:kern w:val="21"/>
          <w:sz w:val="24"/>
        </w:rPr>
        <w:t>SDK</w:t>
      </w:r>
      <w:r>
        <w:rPr>
          <w:rFonts w:hint="eastAsia" w:ascii="宋体" w:hAnsi="宋体" w:eastAsia="宋体" w:cs="Arial"/>
          <w:kern w:val="21"/>
          <w:sz w:val="24"/>
        </w:rPr>
        <w:t>，开放型网络视频接口，</w:t>
      </w:r>
      <w:r>
        <w:rPr>
          <w:rFonts w:ascii="宋体" w:hAnsi="宋体" w:eastAsia="宋体" w:cs="Arial"/>
          <w:kern w:val="21"/>
          <w:sz w:val="24"/>
        </w:rPr>
        <w:t>ISAPI</w:t>
      </w:r>
      <w:r>
        <w:rPr>
          <w:rFonts w:hint="eastAsia" w:ascii="宋体" w:hAnsi="宋体" w:eastAsia="宋体" w:cs="Arial"/>
          <w:kern w:val="21"/>
          <w:sz w:val="24"/>
        </w:rPr>
        <w:t>，</w:t>
      </w:r>
      <w:r>
        <w:rPr>
          <w:rFonts w:ascii="宋体" w:hAnsi="宋体" w:eastAsia="宋体" w:cs="Arial"/>
          <w:kern w:val="21"/>
          <w:sz w:val="24"/>
        </w:rPr>
        <w:t>GB/T28181</w:t>
      </w:r>
      <w:r>
        <w:rPr>
          <w:rFonts w:hint="eastAsia" w:ascii="宋体" w:hAnsi="宋体" w:eastAsia="宋体" w:cs="Arial"/>
          <w:kern w:val="21"/>
          <w:sz w:val="24"/>
        </w:rPr>
        <w:t>，</w:t>
      </w:r>
      <w:r>
        <w:rPr>
          <w:rFonts w:ascii="宋体" w:hAnsi="宋体" w:eastAsia="宋体" w:cs="Arial"/>
          <w:kern w:val="21"/>
          <w:sz w:val="24"/>
        </w:rPr>
        <w:t>ISUP</w:t>
      </w:r>
      <w:r>
        <w:rPr>
          <w:rFonts w:hint="eastAsia" w:ascii="宋体" w:hAnsi="宋体" w:eastAsia="宋体" w:cs="Arial"/>
          <w:kern w:val="21"/>
          <w:sz w:val="24"/>
        </w:rPr>
        <w:t>，萤石</w:t>
      </w:r>
    </w:p>
    <w:p w14:paraId="2C879438">
      <w:pPr>
        <w:pStyle w:val="44"/>
        <w:numPr>
          <w:ilvl w:val="0"/>
          <w:numId w:val="21"/>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支持宽动态范围达</w:t>
      </w:r>
      <w:r>
        <w:rPr>
          <w:rFonts w:ascii="宋体" w:hAnsi="宋体" w:eastAsia="宋体" w:cs="Arial"/>
          <w:kern w:val="21"/>
          <w:sz w:val="24"/>
        </w:rPr>
        <w:t>120 dB</w:t>
      </w:r>
      <w:r>
        <w:rPr>
          <w:rFonts w:hint="eastAsia" w:ascii="宋体" w:hAnsi="宋体" w:eastAsia="宋体" w:cs="Arial"/>
          <w:kern w:val="21"/>
          <w:sz w:val="24"/>
        </w:rPr>
        <w:t>，适合逆光环境监控</w:t>
      </w:r>
    </w:p>
    <w:p w14:paraId="684DFEBC">
      <w:pPr>
        <w:pStyle w:val="44"/>
        <w:numPr>
          <w:ilvl w:val="0"/>
          <w:numId w:val="21"/>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支持</w:t>
      </w:r>
      <w:r>
        <w:rPr>
          <w:rFonts w:ascii="宋体" w:hAnsi="宋体" w:eastAsia="宋体" w:cs="Arial"/>
          <w:kern w:val="21"/>
          <w:sz w:val="24"/>
        </w:rPr>
        <w:t>340°</w:t>
      </w:r>
      <w:r>
        <w:rPr>
          <w:rFonts w:hint="eastAsia" w:ascii="宋体" w:hAnsi="宋体" w:eastAsia="宋体" w:cs="Arial"/>
          <w:kern w:val="21"/>
          <w:sz w:val="24"/>
        </w:rPr>
        <w:t>水平旋转，垂直方向</w:t>
      </w:r>
      <w:r>
        <w:rPr>
          <w:rFonts w:ascii="宋体" w:hAnsi="宋体" w:eastAsia="宋体" w:cs="Arial"/>
          <w:kern w:val="21"/>
          <w:sz w:val="24"/>
        </w:rPr>
        <w:t>-20°</w:t>
      </w:r>
      <w:r>
        <w:rPr>
          <w:rFonts w:hint="eastAsia" w:ascii="宋体" w:hAnsi="宋体" w:eastAsia="宋体" w:cs="Arial"/>
          <w:kern w:val="21"/>
          <w:sz w:val="24"/>
        </w:rPr>
        <w:t>~</w:t>
      </w:r>
      <w:r>
        <w:rPr>
          <w:rFonts w:ascii="宋体" w:hAnsi="宋体" w:eastAsia="宋体" w:cs="Arial"/>
          <w:kern w:val="21"/>
          <w:sz w:val="24"/>
        </w:rPr>
        <w:t>90°</w:t>
      </w:r>
    </w:p>
    <w:p w14:paraId="13325CB3">
      <w:pPr>
        <w:pStyle w:val="44"/>
        <w:numPr>
          <w:ilvl w:val="0"/>
          <w:numId w:val="21"/>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支持</w:t>
      </w:r>
      <w:r>
        <w:rPr>
          <w:rFonts w:ascii="宋体" w:hAnsi="宋体" w:eastAsia="宋体" w:cs="Arial"/>
          <w:kern w:val="21"/>
          <w:sz w:val="24"/>
        </w:rPr>
        <w:t>3D</w:t>
      </w:r>
      <w:r>
        <w:rPr>
          <w:rFonts w:hint="eastAsia" w:ascii="宋体" w:hAnsi="宋体" w:eastAsia="宋体" w:cs="Arial"/>
          <w:kern w:val="21"/>
          <w:sz w:val="24"/>
        </w:rPr>
        <w:t>数字降噪、强光抑制、</w:t>
      </w:r>
      <w:r>
        <w:rPr>
          <w:rFonts w:ascii="宋体" w:hAnsi="宋体" w:eastAsia="宋体" w:cs="Arial"/>
          <w:kern w:val="21"/>
          <w:sz w:val="24"/>
        </w:rPr>
        <w:t>Smart</w:t>
      </w:r>
      <w:r>
        <w:rPr>
          <w:rFonts w:hint="eastAsia" w:ascii="宋体" w:hAnsi="宋体" w:eastAsia="宋体" w:cs="Arial"/>
          <w:kern w:val="21"/>
          <w:sz w:val="24"/>
        </w:rPr>
        <w:t xml:space="preserve"> </w:t>
      </w:r>
      <w:r>
        <w:rPr>
          <w:rFonts w:ascii="宋体" w:hAnsi="宋体" w:eastAsia="宋体" w:cs="Arial"/>
          <w:kern w:val="21"/>
          <w:sz w:val="24"/>
        </w:rPr>
        <w:t>IR</w:t>
      </w:r>
    </w:p>
    <w:p w14:paraId="0E1AEFCF">
      <w:pPr>
        <w:pStyle w:val="44"/>
        <w:numPr>
          <w:ilvl w:val="0"/>
          <w:numId w:val="21"/>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支持</w:t>
      </w:r>
      <w:r>
        <w:rPr>
          <w:rFonts w:ascii="宋体" w:hAnsi="宋体" w:eastAsia="宋体" w:cs="Arial"/>
          <w:kern w:val="21"/>
          <w:sz w:val="24"/>
        </w:rPr>
        <w:t>1</w:t>
      </w:r>
      <w:r>
        <w:rPr>
          <w:rFonts w:hint="eastAsia" w:ascii="宋体" w:hAnsi="宋体" w:eastAsia="宋体" w:cs="Arial"/>
          <w:kern w:val="21"/>
          <w:sz w:val="24"/>
        </w:rPr>
        <w:t>路音频输入和</w:t>
      </w:r>
      <w:r>
        <w:rPr>
          <w:rFonts w:ascii="宋体" w:hAnsi="宋体" w:eastAsia="宋体" w:cs="Arial"/>
          <w:kern w:val="21"/>
          <w:sz w:val="24"/>
        </w:rPr>
        <w:t>1</w:t>
      </w:r>
      <w:r>
        <w:rPr>
          <w:rFonts w:hint="eastAsia" w:ascii="宋体" w:hAnsi="宋体" w:eastAsia="宋体" w:cs="Arial"/>
          <w:kern w:val="21"/>
          <w:sz w:val="24"/>
        </w:rPr>
        <w:t>路音频输出</w:t>
      </w:r>
    </w:p>
    <w:p w14:paraId="3A6E9531">
      <w:pPr>
        <w:pStyle w:val="44"/>
        <w:numPr>
          <w:ilvl w:val="0"/>
          <w:numId w:val="21"/>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内置</w:t>
      </w:r>
      <w:r>
        <w:rPr>
          <w:rFonts w:ascii="宋体" w:hAnsi="宋体" w:eastAsia="宋体" w:cs="Arial"/>
          <w:kern w:val="21"/>
          <w:sz w:val="24"/>
        </w:rPr>
        <w:t>2</w:t>
      </w:r>
      <w:r>
        <w:rPr>
          <w:rFonts w:hint="eastAsia" w:ascii="宋体" w:hAnsi="宋体" w:eastAsia="宋体" w:cs="Arial"/>
          <w:kern w:val="21"/>
          <w:sz w:val="24"/>
        </w:rPr>
        <w:t>路报警输入和</w:t>
      </w:r>
      <w:r>
        <w:rPr>
          <w:rFonts w:ascii="宋体" w:hAnsi="宋体" w:eastAsia="宋体" w:cs="Arial"/>
          <w:kern w:val="21"/>
          <w:sz w:val="24"/>
        </w:rPr>
        <w:t>1</w:t>
      </w:r>
      <w:r>
        <w:rPr>
          <w:rFonts w:hint="eastAsia" w:ascii="宋体" w:hAnsi="宋体" w:eastAsia="宋体" w:cs="Arial"/>
          <w:kern w:val="21"/>
          <w:sz w:val="24"/>
        </w:rPr>
        <w:t>路报警输出，支持报警联动功能</w:t>
      </w:r>
    </w:p>
    <w:p w14:paraId="3F5E4D18">
      <w:pPr>
        <w:pStyle w:val="44"/>
        <w:numPr>
          <w:ilvl w:val="0"/>
          <w:numId w:val="21"/>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支持</w:t>
      </w:r>
      <w:r>
        <w:rPr>
          <w:rFonts w:ascii="宋体" w:hAnsi="宋体" w:eastAsia="宋体" w:cs="Arial"/>
          <w:kern w:val="21"/>
          <w:sz w:val="24"/>
        </w:rPr>
        <w:t>4G</w:t>
      </w:r>
      <w:r>
        <w:rPr>
          <w:rFonts w:hint="eastAsia" w:ascii="宋体" w:hAnsi="宋体" w:eastAsia="宋体" w:cs="Arial"/>
          <w:kern w:val="21"/>
          <w:sz w:val="24"/>
        </w:rPr>
        <w:t>，低功耗设计，设备正常工作，最低功耗小于</w:t>
      </w:r>
      <w:r>
        <w:rPr>
          <w:rFonts w:ascii="宋体" w:hAnsi="宋体" w:eastAsia="宋体" w:cs="Arial"/>
          <w:kern w:val="21"/>
          <w:sz w:val="24"/>
        </w:rPr>
        <w:t>1W</w:t>
      </w:r>
    </w:p>
    <w:p w14:paraId="1FC078D3">
      <w:pPr>
        <w:pStyle w:val="44"/>
        <w:numPr>
          <w:ilvl w:val="0"/>
          <w:numId w:val="21"/>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支持水位报警联动视频抓拍上报</w:t>
      </w:r>
    </w:p>
    <w:p w14:paraId="35E7E7BB">
      <w:pPr>
        <w:pStyle w:val="44"/>
        <w:numPr>
          <w:ilvl w:val="0"/>
          <w:numId w:val="21"/>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内置</w:t>
      </w:r>
      <w:r>
        <w:rPr>
          <w:rFonts w:ascii="宋体" w:hAnsi="宋体" w:eastAsia="宋体" w:cs="Arial"/>
          <w:kern w:val="21"/>
          <w:sz w:val="24"/>
        </w:rPr>
        <w:t>32 GB EMMC</w:t>
      </w:r>
      <w:r>
        <w:rPr>
          <w:rFonts w:hint="eastAsia" w:ascii="宋体" w:hAnsi="宋体" w:eastAsia="宋体" w:cs="Arial"/>
          <w:kern w:val="21"/>
          <w:sz w:val="24"/>
        </w:rPr>
        <w:t>存储</w:t>
      </w:r>
    </w:p>
    <w:p w14:paraId="1CB1C9CD">
      <w:pPr>
        <w:pStyle w:val="44"/>
        <w:numPr>
          <w:ilvl w:val="0"/>
          <w:numId w:val="21"/>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支持最大</w:t>
      </w:r>
      <w:r>
        <w:rPr>
          <w:rFonts w:ascii="宋体" w:hAnsi="宋体" w:eastAsia="宋体" w:cs="Arial"/>
          <w:kern w:val="21"/>
          <w:sz w:val="24"/>
        </w:rPr>
        <w:t>256G</w:t>
      </w:r>
      <w:r>
        <w:rPr>
          <w:rFonts w:hint="eastAsia" w:ascii="宋体" w:hAnsi="宋体" w:eastAsia="宋体" w:cs="Arial"/>
          <w:kern w:val="21"/>
          <w:sz w:val="24"/>
        </w:rPr>
        <w:t>的</w:t>
      </w:r>
      <w:r>
        <w:rPr>
          <w:rFonts w:ascii="宋体" w:hAnsi="宋体" w:eastAsia="宋体" w:cs="Arial"/>
          <w:kern w:val="21"/>
          <w:sz w:val="24"/>
        </w:rPr>
        <w:t xml:space="preserve"> Micro SD/Micro SDHC/Micro SDXC</w:t>
      </w:r>
      <w:r>
        <w:rPr>
          <w:rFonts w:hint="eastAsia" w:ascii="宋体" w:hAnsi="宋体" w:eastAsia="宋体" w:cs="Arial"/>
          <w:kern w:val="21"/>
          <w:sz w:val="24"/>
        </w:rPr>
        <w:t>卡存储</w:t>
      </w:r>
    </w:p>
    <w:p w14:paraId="6B978148">
      <w:pPr>
        <w:pStyle w:val="44"/>
        <w:numPr>
          <w:ilvl w:val="0"/>
          <w:numId w:val="21"/>
        </w:numPr>
        <w:spacing w:line="360" w:lineRule="auto"/>
        <w:ind w:left="0" w:firstLine="480"/>
        <w:rPr>
          <w:rFonts w:hint="eastAsia" w:ascii="宋体" w:hAnsi="宋体" w:eastAsia="宋体" w:cs="Arial"/>
          <w:kern w:val="21"/>
          <w:sz w:val="24"/>
        </w:rPr>
      </w:pPr>
      <w:r>
        <w:rPr>
          <w:rFonts w:ascii="宋体" w:hAnsi="宋体" w:eastAsia="宋体" w:cs="Arial"/>
          <w:kern w:val="21"/>
          <w:sz w:val="24"/>
        </w:rPr>
        <w:t>IP67</w:t>
      </w:r>
      <w:r>
        <w:rPr>
          <w:rFonts w:hint="eastAsia" w:ascii="宋体" w:hAnsi="宋体" w:eastAsia="宋体" w:cs="Arial"/>
          <w:kern w:val="21"/>
          <w:sz w:val="24"/>
        </w:rPr>
        <w:t>，抗干扰能力强，适用于严酷的电磁环境，符合</w:t>
      </w:r>
      <w:r>
        <w:rPr>
          <w:rFonts w:ascii="宋体" w:hAnsi="宋体" w:eastAsia="宋体" w:cs="Arial"/>
          <w:kern w:val="21"/>
          <w:sz w:val="24"/>
        </w:rPr>
        <w:t>GB/T17626.2/3/4/5/6</w:t>
      </w:r>
      <w:r>
        <w:rPr>
          <w:rFonts w:hint="eastAsia" w:ascii="宋体" w:hAnsi="宋体" w:eastAsia="宋体" w:cs="Arial"/>
          <w:kern w:val="21"/>
          <w:sz w:val="24"/>
        </w:rPr>
        <w:t>四级标准</w:t>
      </w:r>
    </w:p>
    <w:p w14:paraId="2E478FC2">
      <w:pPr>
        <w:pStyle w:val="44"/>
        <w:numPr>
          <w:ilvl w:val="0"/>
          <w:numId w:val="21"/>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设备支持热点，当</w:t>
      </w:r>
      <w:r>
        <w:rPr>
          <w:rFonts w:ascii="宋体" w:hAnsi="宋体" w:eastAsia="宋体" w:cs="Arial"/>
          <w:kern w:val="21"/>
          <w:sz w:val="24"/>
        </w:rPr>
        <w:t>4G</w:t>
      </w:r>
      <w:r>
        <w:rPr>
          <w:rFonts w:hint="eastAsia" w:ascii="宋体" w:hAnsi="宋体" w:eastAsia="宋体" w:cs="Arial"/>
          <w:kern w:val="21"/>
          <w:sz w:val="24"/>
        </w:rPr>
        <w:t>网络异常后可连接设备热点进行维护</w:t>
      </w:r>
    </w:p>
    <w:p w14:paraId="0A62CED6">
      <w:pPr>
        <w:pStyle w:val="6"/>
        <w:spacing w:before="0" w:after="0" w:line="360" w:lineRule="auto"/>
        <w:rPr>
          <w:rFonts w:hint="eastAsia" w:ascii="宋体" w:hAnsi="宋体" w:eastAsia="宋体"/>
          <w:sz w:val="24"/>
        </w:rPr>
      </w:pPr>
      <w:bookmarkStart w:id="221" w:name="_Toc175233368"/>
      <w:bookmarkStart w:id="222" w:name="_Toc153281609"/>
      <w:bookmarkStart w:id="223" w:name="_Toc173574208"/>
      <w:r>
        <w:rPr>
          <w:rFonts w:hint="eastAsia" w:ascii="宋体" w:hAnsi="宋体" w:eastAsia="宋体"/>
          <w:sz w:val="24"/>
        </w:rPr>
        <w:t>无线网关建设</w:t>
      </w:r>
      <w:bookmarkEnd w:id="221"/>
    </w:p>
    <w:p w14:paraId="0BA5948E">
      <w:pPr>
        <w:spacing w:line="360" w:lineRule="auto"/>
        <w:ind w:firstLine="480" w:firstLineChars="200"/>
        <w:rPr>
          <w:rFonts w:hint="eastAsia" w:ascii="宋体" w:hAnsi="宋体" w:eastAsia="宋体" w:cs="Arial"/>
          <w:kern w:val="21"/>
          <w:sz w:val="24"/>
        </w:rPr>
      </w:pPr>
      <w:r>
        <w:rPr>
          <w:rFonts w:hint="eastAsia" w:ascii="宋体" w:hAnsi="宋体" w:eastAsia="宋体"/>
          <w:sz w:val="24"/>
          <w:lang w:val="zh-CN"/>
        </w:rPr>
        <w:t>无线网关</w:t>
      </w:r>
      <w:r>
        <w:rPr>
          <w:rFonts w:hint="eastAsia" w:ascii="宋体" w:hAnsi="宋体" w:eastAsia="宋体" w:cs="Arial"/>
          <w:kern w:val="21"/>
          <w:sz w:val="24"/>
        </w:rPr>
        <w:t>共计安装15套</w:t>
      </w:r>
      <w:r>
        <w:rPr>
          <w:rFonts w:hint="eastAsia" w:ascii="宋体" w:hAnsi="宋体" w:eastAsia="宋体"/>
          <w:sz w:val="24"/>
          <w:lang w:val="zh-CN"/>
        </w:rPr>
        <w:t>。</w:t>
      </w:r>
    </w:p>
    <w:p w14:paraId="6A40B086">
      <w:pPr>
        <w:spacing w:line="360" w:lineRule="auto"/>
        <w:ind w:firstLine="480" w:firstLineChars="200"/>
        <w:rPr>
          <w:rFonts w:hint="eastAsia" w:ascii="宋体" w:hAnsi="宋体" w:eastAsia="宋体"/>
          <w:sz w:val="24"/>
          <w:lang w:val="zh-CN"/>
        </w:rPr>
      </w:pPr>
      <w:r>
        <w:rPr>
          <w:rFonts w:hint="eastAsia" w:ascii="宋体" w:hAnsi="宋体" w:eastAsia="宋体"/>
          <w:sz w:val="24"/>
        </w:rPr>
        <w:t>无线</w:t>
      </w:r>
      <w:r>
        <w:rPr>
          <w:rFonts w:hint="eastAsia" w:ascii="宋体" w:hAnsi="宋体" w:eastAsia="宋体"/>
          <w:sz w:val="24"/>
          <w:lang w:val="zh-CN"/>
        </w:rPr>
        <w:t>网关采用全新自主研发的云组网技术替代传统组网方案，不再受网络限制，快速组建异地虚拟局域网，实现两端网内电脑、手机、服务器的互联互通，共享文档、图片、音频、视频、数据库等重要信息。</w:t>
      </w:r>
    </w:p>
    <w:p w14:paraId="4EC0F393">
      <w:pPr>
        <w:spacing w:line="360" w:lineRule="auto"/>
        <w:ind w:firstLine="480" w:firstLineChars="200"/>
        <w:rPr>
          <w:rFonts w:hint="eastAsia" w:ascii="宋体" w:hAnsi="宋体" w:eastAsia="宋体"/>
          <w:sz w:val="24"/>
          <w:lang w:val="zh-CN"/>
        </w:rPr>
      </w:pPr>
      <w:r>
        <w:rPr>
          <w:rFonts w:hint="eastAsia" w:ascii="宋体" w:hAnsi="宋体" w:eastAsia="宋体"/>
          <w:sz w:val="24"/>
          <w:lang w:val="zh-CN"/>
        </w:rPr>
        <w:t>采用钣金外壳有利于散热，支持DIN35mm轨道安装，提供5-36V 宽压输入，采用IP30 防护等级，广泛应用在户外场所，满足严酷工业环境下的苛刻要求。</w:t>
      </w:r>
    </w:p>
    <w:p w14:paraId="5B4D21A5">
      <w:pPr>
        <w:pStyle w:val="44"/>
        <w:numPr>
          <w:ilvl w:val="0"/>
          <w:numId w:val="22"/>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以太网接口：百兆网口*2</w:t>
      </w:r>
    </w:p>
    <w:p w14:paraId="3910AF94">
      <w:pPr>
        <w:pStyle w:val="44"/>
        <w:numPr>
          <w:ilvl w:val="0"/>
          <w:numId w:val="22"/>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串行接口：RS232，RS485</w:t>
      </w:r>
    </w:p>
    <w:p w14:paraId="502C852D">
      <w:pPr>
        <w:pStyle w:val="44"/>
        <w:numPr>
          <w:ilvl w:val="0"/>
          <w:numId w:val="22"/>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支持DI/DO</w:t>
      </w:r>
    </w:p>
    <w:p w14:paraId="56FDE2F7">
      <w:pPr>
        <w:pStyle w:val="44"/>
        <w:numPr>
          <w:ilvl w:val="0"/>
          <w:numId w:val="22"/>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支持双SIM卡接入</w:t>
      </w:r>
    </w:p>
    <w:p w14:paraId="64F912D7">
      <w:pPr>
        <w:pStyle w:val="44"/>
        <w:numPr>
          <w:ilvl w:val="0"/>
          <w:numId w:val="22"/>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LTE：全网通，联通、移动、电信均支持</w:t>
      </w:r>
    </w:p>
    <w:bookmarkEnd w:id="222"/>
    <w:bookmarkEnd w:id="223"/>
    <w:p w14:paraId="664C2B42">
      <w:pPr>
        <w:pStyle w:val="3"/>
        <w:spacing w:before="0" w:after="0" w:line="360" w:lineRule="auto"/>
        <w:rPr>
          <w:rFonts w:hint="eastAsia" w:ascii="宋体" w:hAnsi="宋体" w:eastAsia="宋体"/>
          <w:sz w:val="28"/>
          <w:szCs w:val="28"/>
        </w:rPr>
      </w:pPr>
      <w:bookmarkStart w:id="224" w:name="_Toc175233369"/>
      <w:r>
        <w:rPr>
          <w:rFonts w:hint="eastAsia" w:ascii="宋体" w:hAnsi="宋体" w:eastAsia="宋体"/>
          <w:sz w:val="28"/>
          <w:szCs w:val="28"/>
        </w:rPr>
        <w:t>农村人畜饮水净化配套工程软件系统</w:t>
      </w:r>
      <w:bookmarkEnd w:id="224"/>
    </w:p>
    <w:p w14:paraId="13246536">
      <w:pPr>
        <w:pStyle w:val="6"/>
        <w:spacing w:before="0" w:after="0" w:line="360" w:lineRule="auto"/>
        <w:rPr>
          <w:rFonts w:hint="eastAsia" w:ascii="宋体" w:hAnsi="宋体" w:eastAsia="宋体"/>
          <w:sz w:val="24"/>
        </w:rPr>
      </w:pPr>
      <w:bookmarkStart w:id="225" w:name="_Toc175233370"/>
      <w:r>
        <w:rPr>
          <w:rFonts w:hint="eastAsia" w:ascii="宋体" w:hAnsi="宋体" w:eastAsia="宋体"/>
          <w:sz w:val="24"/>
        </w:rPr>
        <w:t>基础管理</w:t>
      </w:r>
      <w:bookmarkEnd w:id="225"/>
    </w:p>
    <w:p w14:paraId="764B811C">
      <w:pPr>
        <w:spacing w:line="360" w:lineRule="auto"/>
        <w:ind w:firstLine="480" w:firstLineChars="200"/>
      </w:pPr>
      <w:r>
        <w:rPr>
          <w:rFonts w:hint="eastAsia" w:ascii="宋体" w:hAnsi="宋体" w:eastAsia="宋体" w:cs="Arial"/>
          <w:kern w:val="21"/>
          <w:sz w:val="24"/>
        </w:rPr>
        <w:t>实现系统的基础管理，包括菜单管理、角色管理、用户管理、菜单权限管理、设备管理、日志管理等。对涉及到的人员信息进行统一维护管理，不同的人员设置不同的角色。实现根据不同分配不同的菜单。对不同的角色进行菜单权限的动态分配。</w:t>
      </w:r>
    </w:p>
    <w:p w14:paraId="49A50DBA">
      <w:pPr>
        <w:pStyle w:val="7"/>
        <w:spacing w:before="0" w:after="0" w:line="360" w:lineRule="auto"/>
        <w:rPr>
          <w:rFonts w:hint="eastAsia" w:ascii="宋体" w:hAnsi="宋体" w:eastAsia="宋体"/>
          <w:b w:val="0"/>
          <w:bCs/>
          <w:sz w:val="24"/>
        </w:rPr>
      </w:pPr>
      <w:r>
        <w:rPr>
          <w:rFonts w:hint="eastAsia" w:ascii="宋体" w:hAnsi="宋体" w:eastAsia="宋体"/>
          <w:b w:val="0"/>
          <w:bCs/>
          <w:sz w:val="24"/>
        </w:rPr>
        <w:t>菜单管理</w:t>
      </w:r>
    </w:p>
    <w:p w14:paraId="5C0C6A77">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提供对菜单列表形式的管理，可对菜单进行新增、编辑、删除等操作。</w:t>
      </w:r>
    </w:p>
    <w:p w14:paraId="635D4586">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菜单的基本信息应包括：菜单名称，菜单路径，父菜单名称信息。</w:t>
      </w:r>
    </w:p>
    <w:p w14:paraId="0C410DE9">
      <w:pPr>
        <w:pStyle w:val="44"/>
        <w:numPr>
          <w:ilvl w:val="0"/>
          <w:numId w:val="23"/>
        </w:numPr>
        <w:spacing w:line="360" w:lineRule="auto"/>
        <w:ind w:firstLineChars="0"/>
        <w:rPr>
          <w:rFonts w:hint="eastAsia" w:ascii="宋体" w:hAnsi="宋体" w:eastAsia="宋体" w:cs="Arial"/>
          <w:kern w:val="21"/>
          <w:sz w:val="24"/>
        </w:rPr>
      </w:pPr>
      <w:r>
        <w:rPr>
          <w:rFonts w:hint="eastAsia" w:ascii="宋体" w:hAnsi="宋体" w:eastAsia="宋体" w:cs="Arial"/>
          <w:kern w:val="21"/>
          <w:sz w:val="24"/>
        </w:rPr>
        <w:t>菜单新增</w:t>
      </w:r>
    </w:p>
    <w:p w14:paraId="36BF4A29">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系统实现新增菜单信息，选择一个菜单父节点，点击新增按钮即可展开菜单新增页面，填写菜单名称、菜单路径等信息，点击保存即可完成菜单新增。</w:t>
      </w:r>
    </w:p>
    <w:p w14:paraId="638CC84E">
      <w:pPr>
        <w:pStyle w:val="44"/>
        <w:numPr>
          <w:ilvl w:val="0"/>
          <w:numId w:val="23"/>
        </w:numPr>
        <w:spacing w:line="360" w:lineRule="auto"/>
        <w:ind w:firstLineChars="0"/>
        <w:rPr>
          <w:rFonts w:hint="eastAsia" w:ascii="宋体" w:hAnsi="宋体" w:eastAsia="宋体" w:cs="Arial"/>
          <w:kern w:val="21"/>
          <w:sz w:val="24"/>
        </w:rPr>
      </w:pPr>
      <w:r>
        <w:rPr>
          <w:rFonts w:hint="eastAsia" w:ascii="宋体" w:hAnsi="宋体" w:eastAsia="宋体" w:cs="Arial"/>
          <w:kern w:val="21"/>
          <w:sz w:val="24"/>
        </w:rPr>
        <w:t>菜单编辑</w:t>
      </w:r>
    </w:p>
    <w:p w14:paraId="2AED4821">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系统实现编辑菜单信息，选择要编辑的菜单，点击该菜单列表右侧的编辑按钮，即可进入编辑该菜单信息页面，编辑相关信息后，点击保存按钮即可完成编辑操作。</w:t>
      </w:r>
    </w:p>
    <w:p w14:paraId="6BF4F420">
      <w:pPr>
        <w:pStyle w:val="44"/>
        <w:numPr>
          <w:ilvl w:val="0"/>
          <w:numId w:val="23"/>
        </w:numPr>
        <w:spacing w:line="360" w:lineRule="auto"/>
        <w:ind w:firstLineChars="0"/>
        <w:rPr>
          <w:rFonts w:hint="eastAsia" w:ascii="宋体" w:hAnsi="宋体" w:eastAsia="宋体" w:cs="Arial"/>
          <w:kern w:val="21"/>
          <w:sz w:val="24"/>
        </w:rPr>
      </w:pPr>
      <w:r>
        <w:rPr>
          <w:rFonts w:hint="eastAsia" w:ascii="宋体" w:hAnsi="宋体" w:eastAsia="宋体" w:cs="Arial"/>
          <w:kern w:val="21"/>
          <w:sz w:val="24"/>
        </w:rPr>
        <w:t>菜单删除</w:t>
      </w:r>
    </w:p>
    <w:p w14:paraId="2F465D2C">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平台实现删除菜单信息，选择要删除的菜单，点击该菜单列表右侧的删除按钮，确定后即可删除所选菜单信息。</w:t>
      </w:r>
    </w:p>
    <w:p w14:paraId="39712A0A">
      <w:pPr>
        <w:pStyle w:val="44"/>
        <w:numPr>
          <w:ilvl w:val="0"/>
          <w:numId w:val="23"/>
        </w:numPr>
        <w:spacing w:line="360" w:lineRule="auto"/>
        <w:ind w:firstLineChars="0"/>
        <w:rPr>
          <w:rFonts w:hint="eastAsia" w:ascii="宋体" w:hAnsi="宋体" w:eastAsia="宋体" w:cs="Arial"/>
          <w:kern w:val="21"/>
          <w:sz w:val="24"/>
        </w:rPr>
      </w:pPr>
      <w:r>
        <w:rPr>
          <w:rFonts w:hint="eastAsia" w:ascii="宋体" w:hAnsi="宋体" w:eastAsia="宋体" w:cs="Arial"/>
          <w:kern w:val="21"/>
          <w:sz w:val="24"/>
        </w:rPr>
        <w:t>菜单列表</w:t>
      </w:r>
    </w:p>
    <w:p w14:paraId="45669F4B">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以列表的形式展示菜单信息，可以查看该菜单的详情信息。</w:t>
      </w:r>
    </w:p>
    <w:p w14:paraId="0CF9DC09">
      <w:pPr>
        <w:pStyle w:val="7"/>
        <w:spacing w:before="0" w:after="0" w:line="360" w:lineRule="auto"/>
        <w:rPr>
          <w:rFonts w:hint="eastAsia" w:ascii="宋体" w:hAnsi="宋体" w:eastAsia="宋体"/>
          <w:b w:val="0"/>
          <w:bCs/>
          <w:sz w:val="24"/>
        </w:rPr>
      </w:pPr>
      <w:r>
        <w:rPr>
          <w:rFonts w:hint="eastAsia" w:ascii="宋体" w:hAnsi="宋体" w:eastAsia="宋体"/>
          <w:b w:val="0"/>
          <w:bCs/>
          <w:sz w:val="24"/>
        </w:rPr>
        <w:t>角色管理</w:t>
      </w:r>
    </w:p>
    <w:p w14:paraId="687B0C4D">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提供对角色列表形式的管理，选择角色信息，勾选右侧菜单，即可给该角色分配菜单权限。</w:t>
      </w:r>
    </w:p>
    <w:p w14:paraId="5393C74E">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角色的基本信息包括：角色名称，角色描述，组织ID（菜单列表）。</w:t>
      </w:r>
    </w:p>
    <w:p w14:paraId="6751D34D">
      <w:pPr>
        <w:pStyle w:val="44"/>
        <w:numPr>
          <w:ilvl w:val="0"/>
          <w:numId w:val="24"/>
        </w:numPr>
        <w:spacing w:line="360" w:lineRule="auto"/>
        <w:ind w:firstLineChars="0"/>
        <w:rPr>
          <w:rFonts w:hint="eastAsia" w:ascii="宋体" w:hAnsi="宋体" w:eastAsia="宋体" w:cs="Arial"/>
          <w:kern w:val="21"/>
          <w:sz w:val="24"/>
        </w:rPr>
      </w:pPr>
      <w:r>
        <w:rPr>
          <w:rFonts w:hint="eastAsia" w:ascii="宋体" w:hAnsi="宋体" w:eastAsia="宋体" w:cs="Arial"/>
          <w:kern w:val="21"/>
          <w:sz w:val="24"/>
        </w:rPr>
        <w:t>角色新增</w:t>
      </w:r>
    </w:p>
    <w:p w14:paraId="49241441">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系统实现新增角色信息，点击新增按钮即可展开角色新增页面，填写角色名称、角色描述等信息，点击保存即可完成角色新增。</w:t>
      </w:r>
    </w:p>
    <w:p w14:paraId="0829CEF1">
      <w:pPr>
        <w:pStyle w:val="44"/>
        <w:numPr>
          <w:ilvl w:val="0"/>
          <w:numId w:val="24"/>
        </w:numPr>
        <w:spacing w:line="360" w:lineRule="auto"/>
        <w:ind w:firstLineChars="0"/>
        <w:rPr>
          <w:rFonts w:hint="eastAsia" w:ascii="宋体" w:hAnsi="宋体" w:eastAsia="宋体" w:cs="Arial"/>
          <w:kern w:val="21"/>
          <w:sz w:val="24"/>
        </w:rPr>
      </w:pPr>
      <w:r>
        <w:rPr>
          <w:rFonts w:hint="eastAsia" w:ascii="宋体" w:hAnsi="宋体" w:eastAsia="宋体" w:cs="Arial"/>
          <w:kern w:val="21"/>
          <w:sz w:val="24"/>
        </w:rPr>
        <w:t>角色编辑</w:t>
      </w:r>
    </w:p>
    <w:p w14:paraId="46F4B869">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系统实现编辑角色信息，选择要编辑的角色，点击该角色列表右侧的编辑按钮，即可进入编辑该角色信息页面，修改相关信息后，点击保存按钮即可完成角色编辑操作。</w:t>
      </w:r>
    </w:p>
    <w:p w14:paraId="35536B36">
      <w:pPr>
        <w:pStyle w:val="44"/>
        <w:numPr>
          <w:ilvl w:val="0"/>
          <w:numId w:val="24"/>
        </w:numPr>
        <w:spacing w:line="360" w:lineRule="auto"/>
        <w:ind w:firstLineChars="0"/>
        <w:rPr>
          <w:rFonts w:hint="eastAsia" w:ascii="宋体" w:hAnsi="宋体" w:eastAsia="宋体" w:cs="Arial"/>
          <w:kern w:val="21"/>
          <w:sz w:val="24"/>
        </w:rPr>
      </w:pPr>
      <w:r>
        <w:rPr>
          <w:rFonts w:hint="eastAsia" w:ascii="宋体" w:hAnsi="宋体" w:eastAsia="宋体" w:cs="Arial"/>
          <w:kern w:val="21"/>
          <w:sz w:val="24"/>
        </w:rPr>
        <w:t>角色删除</w:t>
      </w:r>
    </w:p>
    <w:p w14:paraId="5C44D301">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系统实现删除角色信息，选择要删除的角色，点击该角色列表右侧的删除按钮，确定后即可删除所选角色信息。</w:t>
      </w:r>
    </w:p>
    <w:p w14:paraId="575FA5C7">
      <w:pPr>
        <w:pStyle w:val="44"/>
        <w:numPr>
          <w:ilvl w:val="0"/>
          <w:numId w:val="24"/>
        </w:numPr>
        <w:spacing w:line="360" w:lineRule="auto"/>
        <w:ind w:firstLineChars="0"/>
        <w:rPr>
          <w:rFonts w:hint="eastAsia" w:ascii="宋体" w:hAnsi="宋体" w:eastAsia="宋体" w:cs="Arial"/>
          <w:kern w:val="21"/>
          <w:sz w:val="24"/>
        </w:rPr>
      </w:pPr>
      <w:r>
        <w:rPr>
          <w:rFonts w:hint="eastAsia" w:ascii="宋体" w:hAnsi="宋体" w:eastAsia="宋体" w:cs="Arial"/>
          <w:kern w:val="21"/>
          <w:sz w:val="24"/>
        </w:rPr>
        <w:t>角色列表</w:t>
      </w:r>
    </w:p>
    <w:p w14:paraId="0B67AA06">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以列表的形式显示角色信息，可以查看该角色的详情信息。</w:t>
      </w:r>
    </w:p>
    <w:p w14:paraId="22F25CC8">
      <w:pPr>
        <w:pStyle w:val="44"/>
        <w:numPr>
          <w:ilvl w:val="0"/>
          <w:numId w:val="24"/>
        </w:numPr>
        <w:spacing w:line="360" w:lineRule="auto"/>
        <w:ind w:firstLineChars="0"/>
        <w:rPr>
          <w:rFonts w:hint="eastAsia" w:ascii="宋体" w:hAnsi="宋体" w:eastAsia="宋体" w:cs="Arial"/>
          <w:kern w:val="21"/>
          <w:sz w:val="24"/>
        </w:rPr>
      </w:pPr>
      <w:r>
        <w:rPr>
          <w:rFonts w:hint="eastAsia" w:ascii="宋体" w:hAnsi="宋体" w:eastAsia="宋体" w:cs="Arial"/>
          <w:kern w:val="21"/>
          <w:sz w:val="24"/>
        </w:rPr>
        <w:t>角色分配权限</w:t>
      </w:r>
    </w:p>
    <w:p w14:paraId="46DE2BC3">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系统实现为角色分配权限功能，在角色列表中选择一条角色信息，勾选右侧菜单树中的菜单节点，点击保存按钮即可完成为角色分配权限操作。</w:t>
      </w:r>
    </w:p>
    <w:p w14:paraId="5441C024">
      <w:pPr>
        <w:pStyle w:val="7"/>
        <w:spacing w:before="0" w:after="0" w:line="360" w:lineRule="auto"/>
        <w:rPr>
          <w:rFonts w:hint="eastAsia" w:ascii="宋体" w:hAnsi="宋体" w:eastAsia="宋体"/>
          <w:b w:val="0"/>
          <w:bCs/>
          <w:sz w:val="24"/>
        </w:rPr>
      </w:pPr>
      <w:r>
        <w:rPr>
          <w:rFonts w:hint="eastAsia" w:ascii="宋体" w:hAnsi="宋体" w:eastAsia="宋体"/>
          <w:b w:val="0"/>
          <w:bCs/>
          <w:sz w:val="24"/>
        </w:rPr>
        <w:t>用户管理</w:t>
      </w:r>
    </w:p>
    <w:p w14:paraId="7974F8EB">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实现用户管理信息的可视化查询。提供对用户列表形式的管理，可通过用户名称等关键字搜索用户信息。</w:t>
      </w:r>
    </w:p>
    <w:p w14:paraId="177E5964">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用户的基本信息应包括：姓名，账号，密码，（启用）禁止，角色。</w:t>
      </w:r>
    </w:p>
    <w:p w14:paraId="65381B48">
      <w:pPr>
        <w:pStyle w:val="44"/>
        <w:numPr>
          <w:ilvl w:val="0"/>
          <w:numId w:val="25"/>
        </w:numPr>
        <w:spacing w:line="360" w:lineRule="auto"/>
        <w:ind w:firstLineChars="0"/>
        <w:rPr>
          <w:rFonts w:hint="eastAsia" w:ascii="宋体" w:hAnsi="宋体" w:eastAsia="宋体" w:cs="Arial"/>
          <w:kern w:val="21"/>
          <w:sz w:val="24"/>
        </w:rPr>
      </w:pPr>
      <w:r>
        <w:rPr>
          <w:rFonts w:hint="eastAsia" w:ascii="宋体" w:hAnsi="宋体" w:eastAsia="宋体" w:cs="Arial"/>
          <w:kern w:val="21"/>
          <w:sz w:val="24"/>
        </w:rPr>
        <w:t>用户新增</w:t>
      </w:r>
    </w:p>
    <w:p w14:paraId="347B7DB6">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系统实现新增用户信息，点击新增按钮即可展开用户新增页面，填写姓名、账号、密码、选择启用或者禁用以及该用户的角色，点击保存即可完成用户新增。</w:t>
      </w:r>
    </w:p>
    <w:p w14:paraId="00927FD2">
      <w:pPr>
        <w:pStyle w:val="44"/>
        <w:numPr>
          <w:ilvl w:val="0"/>
          <w:numId w:val="25"/>
        </w:numPr>
        <w:spacing w:line="360" w:lineRule="auto"/>
        <w:ind w:firstLineChars="0"/>
        <w:rPr>
          <w:rFonts w:hint="eastAsia" w:ascii="宋体" w:hAnsi="宋体" w:eastAsia="宋体" w:cs="Arial"/>
          <w:kern w:val="21"/>
          <w:sz w:val="24"/>
        </w:rPr>
      </w:pPr>
      <w:r>
        <w:rPr>
          <w:rFonts w:hint="eastAsia" w:ascii="宋体" w:hAnsi="宋体" w:eastAsia="宋体" w:cs="Arial"/>
          <w:kern w:val="21"/>
          <w:sz w:val="24"/>
        </w:rPr>
        <w:t>用户编辑</w:t>
      </w:r>
    </w:p>
    <w:p w14:paraId="0F3E4075">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系统实现编辑用户信息，选择要编辑的用户，点击该用户列表右侧的编辑按钮，即可进入编辑该用户信息页面，编辑相关信息后，点击保存按钮即可完成编辑操作。</w:t>
      </w:r>
    </w:p>
    <w:p w14:paraId="623B7F93">
      <w:pPr>
        <w:pStyle w:val="44"/>
        <w:numPr>
          <w:ilvl w:val="0"/>
          <w:numId w:val="25"/>
        </w:numPr>
        <w:spacing w:line="360" w:lineRule="auto"/>
        <w:ind w:firstLineChars="0"/>
        <w:rPr>
          <w:rFonts w:hint="eastAsia" w:ascii="宋体" w:hAnsi="宋体" w:eastAsia="宋体" w:cs="Arial"/>
          <w:kern w:val="21"/>
          <w:sz w:val="24"/>
        </w:rPr>
      </w:pPr>
      <w:r>
        <w:rPr>
          <w:rFonts w:hint="eastAsia" w:ascii="宋体" w:hAnsi="宋体" w:eastAsia="宋体" w:cs="Arial"/>
          <w:kern w:val="21"/>
          <w:sz w:val="24"/>
        </w:rPr>
        <w:t>用户删除</w:t>
      </w:r>
    </w:p>
    <w:p w14:paraId="1F9A2327">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系统实现删除用户信息，选择要删除的用户，点击该用户列表右侧的删除按钮，确定后即可删除所选用户信息。</w:t>
      </w:r>
    </w:p>
    <w:p w14:paraId="77434ACF">
      <w:pPr>
        <w:pStyle w:val="44"/>
        <w:numPr>
          <w:ilvl w:val="0"/>
          <w:numId w:val="25"/>
        </w:numPr>
        <w:spacing w:line="360" w:lineRule="auto"/>
        <w:ind w:firstLineChars="0"/>
        <w:rPr>
          <w:rFonts w:hint="eastAsia" w:ascii="宋体" w:hAnsi="宋体" w:eastAsia="宋体" w:cs="Arial"/>
          <w:kern w:val="21"/>
          <w:sz w:val="24"/>
        </w:rPr>
      </w:pPr>
      <w:r>
        <w:rPr>
          <w:rFonts w:hint="eastAsia" w:ascii="宋体" w:hAnsi="宋体" w:eastAsia="宋体" w:cs="Arial"/>
          <w:kern w:val="21"/>
          <w:sz w:val="24"/>
        </w:rPr>
        <w:t>用户列表</w:t>
      </w:r>
    </w:p>
    <w:p w14:paraId="6B99D784">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以列表的形式展示用户信息，可以点击详情按钮查看用户具体信息。</w:t>
      </w:r>
    </w:p>
    <w:p w14:paraId="07EDC796">
      <w:pPr>
        <w:pStyle w:val="44"/>
        <w:numPr>
          <w:ilvl w:val="0"/>
          <w:numId w:val="25"/>
        </w:numPr>
        <w:spacing w:line="360" w:lineRule="auto"/>
        <w:ind w:firstLineChars="0"/>
        <w:rPr>
          <w:rFonts w:hint="eastAsia" w:ascii="宋体" w:hAnsi="宋体" w:eastAsia="宋体" w:cs="Arial"/>
          <w:kern w:val="21"/>
          <w:sz w:val="24"/>
        </w:rPr>
      </w:pPr>
      <w:r>
        <w:rPr>
          <w:rFonts w:hint="eastAsia" w:ascii="宋体" w:hAnsi="宋体" w:eastAsia="宋体" w:cs="Arial"/>
          <w:kern w:val="21"/>
          <w:sz w:val="24"/>
        </w:rPr>
        <w:t>用户查询</w:t>
      </w:r>
    </w:p>
    <w:p w14:paraId="480E76DF">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提供用户信息的查询，可以通过用户名称关键字进行查询。</w:t>
      </w:r>
    </w:p>
    <w:p w14:paraId="6DF31762">
      <w:pPr>
        <w:pStyle w:val="7"/>
        <w:spacing w:before="0" w:after="0" w:line="360" w:lineRule="auto"/>
        <w:rPr>
          <w:rFonts w:hint="eastAsia" w:ascii="宋体" w:hAnsi="宋体" w:eastAsia="宋体"/>
          <w:b w:val="0"/>
          <w:bCs/>
          <w:sz w:val="24"/>
        </w:rPr>
      </w:pPr>
      <w:r>
        <w:rPr>
          <w:rFonts w:hint="eastAsia" w:ascii="宋体" w:hAnsi="宋体" w:eastAsia="宋体"/>
          <w:b w:val="0"/>
          <w:bCs/>
          <w:sz w:val="24"/>
        </w:rPr>
        <w:t>菜单权限管理</w:t>
      </w:r>
    </w:p>
    <w:p w14:paraId="21D50AA8">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实现根据不同角色分配不同的菜单。对不同的角色进行菜单权限的动态分配。</w:t>
      </w:r>
    </w:p>
    <w:p w14:paraId="050692D8">
      <w:pPr>
        <w:pStyle w:val="7"/>
        <w:spacing w:before="0" w:after="0" w:line="360" w:lineRule="auto"/>
        <w:rPr>
          <w:rFonts w:hint="eastAsia" w:ascii="宋体" w:hAnsi="宋体" w:eastAsia="宋体"/>
          <w:b w:val="0"/>
          <w:bCs/>
          <w:sz w:val="24"/>
        </w:rPr>
      </w:pPr>
      <w:r>
        <w:rPr>
          <w:rFonts w:hint="eastAsia" w:ascii="宋体" w:hAnsi="宋体" w:eastAsia="宋体"/>
          <w:b w:val="0"/>
          <w:bCs/>
          <w:sz w:val="24"/>
        </w:rPr>
        <w:t>设备管理</w:t>
      </w:r>
    </w:p>
    <w:p w14:paraId="683C2AB4">
      <w:pPr>
        <w:spacing w:line="360" w:lineRule="auto"/>
        <w:ind w:firstLine="480" w:firstLineChars="200"/>
        <w:rPr>
          <w:rFonts w:hint="eastAsia" w:ascii="宋体" w:hAnsi="宋体" w:eastAsia="宋体" w:cs="Arial"/>
          <w:kern w:val="21"/>
          <w:sz w:val="24"/>
        </w:rPr>
      </w:pPr>
      <w:r>
        <w:rPr>
          <w:rFonts w:hint="eastAsia" w:ascii="宋体" w:hAnsi="宋体" w:eastAsia="宋体"/>
          <w:sz w:val="24"/>
        </w:rPr>
        <w:t>平台支持设备管理，设备的录入、维护、编辑、实时数据查看。支持大于10000套设备接入。</w:t>
      </w:r>
    </w:p>
    <w:p w14:paraId="673F2B1B">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对涉及到数据上报和采集的设备进行统一管理维护。支持设备的新增、修改、删除等操作。</w:t>
      </w:r>
    </w:p>
    <w:p w14:paraId="7D65A457">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不同类型的设备具有不同的操作。对不同设备的协议进行对接，解析。</w:t>
      </w:r>
    </w:p>
    <w:p w14:paraId="3F5E8F46">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实现设备信息的可视化查询。提供对设备列表形式的管理，可通过设备编号等关键字搜索设备信息，点击设备列表右侧的详情按钮可查看到详细信息。</w:t>
      </w:r>
    </w:p>
    <w:p w14:paraId="29AB3909">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设备的基本信息应包括：设备名称，设备编号，设备地址，设备类型等信息。</w:t>
      </w:r>
    </w:p>
    <w:p w14:paraId="28B7E87C">
      <w:pPr>
        <w:pStyle w:val="44"/>
        <w:numPr>
          <w:ilvl w:val="0"/>
          <w:numId w:val="26"/>
        </w:numPr>
        <w:spacing w:line="360" w:lineRule="auto"/>
        <w:ind w:firstLineChars="0"/>
        <w:rPr>
          <w:rFonts w:hint="eastAsia" w:ascii="宋体" w:hAnsi="宋体" w:eastAsia="宋体" w:cs="Arial"/>
          <w:kern w:val="21"/>
          <w:sz w:val="24"/>
        </w:rPr>
      </w:pPr>
      <w:r>
        <w:rPr>
          <w:rFonts w:hint="eastAsia" w:ascii="宋体" w:hAnsi="宋体" w:eastAsia="宋体" w:cs="Arial"/>
          <w:kern w:val="21"/>
          <w:sz w:val="24"/>
        </w:rPr>
        <w:t>设备列表</w:t>
      </w:r>
    </w:p>
    <w:p w14:paraId="325EAB33">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以列表的形式展示设备信息，可以点击设备列表右侧的详情按钮查看设备的具体信息。</w:t>
      </w:r>
    </w:p>
    <w:p w14:paraId="74DA884F">
      <w:pPr>
        <w:pStyle w:val="44"/>
        <w:numPr>
          <w:ilvl w:val="0"/>
          <w:numId w:val="26"/>
        </w:numPr>
        <w:spacing w:line="360" w:lineRule="auto"/>
        <w:ind w:firstLineChars="0"/>
        <w:rPr>
          <w:rFonts w:hint="eastAsia" w:ascii="宋体" w:hAnsi="宋体" w:eastAsia="宋体" w:cs="Arial"/>
          <w:kern w:val="21"/>
          <w:sz w:val="24"/>
        </w:rPr>
      </w:pPr>
      <w:r>
        <w:rPr>
          <w:rFonts w:hint="eastAsia" w:ascii="宋体" w:hAnsi="宋体" w:eastAsia="宋体" w:cs="Arial"/>
          <w:kern w:val="21"/>
          <w:sz w:val="24"/>
        </w:rPr>
        <w:t>设备新增</w:t>
      </w:r>
    </w:p>
    <w:p w14:paraId="7EAC3528">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系统实现新增设备信息，点击新增按钮即可展开设备新增页面，填写设备名称，设备编号、设备地址等信息，选择设备类型，点击保存即可完成设备信息新增。</w:t>
      </w:r>
    </w:p>
    <w:p w14:paraId="2F80467A">
      <w:pPr>
        <w:pStyle w:val="44"/>
        <w:numPr>
          <w:ilvl w:val="0"/>
          <w:numId w:val="26"/>
        </w:numPr>
        <w:spacing w:line="360" w:lineRule="auto"/>
        <w:ind w:firstLineChars="0"/>
        <w:rPr>
          <w:rFonts w:hint="eastAsia" w:ascii="宋体" w:hAnsi="宋体" w:eastAsia="宋体" w:cs="Arial"/>
          <w:kern w:val="21"/>
          <w:sz w:val="24"/>
        </w:rPr>
      </w:pPr>
      <w:r>
        <w:rPr>
          <w:rFonts w:hint="eastAsia" w:ascii="宋体" w:hAnsi="宋体" w:eastAsia="宋体" w:cs="Arial"/>
          <w:kern w:val="21"/>
          <w:sz w:val="24"/>
        </w:rPr>
        <w:t>设备编辑</w:t>
      </w:r>
    </w:p>
    <w:p w14:paraId="671C9567">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系统实现编辑设备信息，选择要编辑的设备，点击该设备列表右侧的编辑按钮，即可进入编辑该设备信息页面，编辑相关信息后，点击保存按钮即可完成编辑操作。</w:t>
      </w:r>
    </w:p>
    <w:p w14:paraId="4E9C7D83">
      <w:pPr>
        <w:pStyle w:val="44"/>
        <w:numPr>
          <w:ilvl w:val="0"/>
          <w:numId w:val="26"/>
        </w:numPr>
        <w:spacing w:line="360" w:lineRule="auto"/>
        <w:ind w:firstLineChars="0"/>
        <w:rPr>
          <w:rFonts w:hint="eastAsia" w:ascii="宋体" w:hAnsi="宋体" w:eastAsia="宋体" w:cs="Arial"/>
          <w:kern w:val="21"/>
          <w:sz w:val="24"/>
        </w:rPr>
      </w:pPr>
      <w:r>
        <w:rPr>
          <w:rFonts w:hint="eastAsia" w:ascii="宋体" w:hAnsi="宋体" w:eastAsia="宋体" w:cs="Arial"/>
          <w:kern w:val="21"/>
          <w:sz w:val="24"/>
        </w:rPr>
        <w:t>设备删除</w:t>
      </w:r>
    </w:p>
    <w:p w14:paraId="6487F669">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系统实现删除设备信息，选择要删除的设备，点击该设备列表右侧的删除按钮，确定后即可删除所选设备信息</w:t>
      </w:r>
    </w:p>
    <w:p w14:paraId="4F050298">
      <w:pPr>
        <w:pStyle w:val="7"/>
        <w:spacing w:before="0" w:after="0" w:line="360" w:lineRule="auto"/>
        <w:rPr>
          <w:rFonts w:hint="eastAsia" w:ascii="宋体" w:hAnsi="宋体" w:eastAsia="宋体"/>
          <w:b w:val="0"/>
          <w:bCs/>
          <w:sz w:val="24"/>
        </w:rPr>
      </w:pPr>
      <w:r>
        <w:rPr>
          <w:rFonts w:hint="eastAsia" w:ascii="宋体" w:hAnsi="宋体" w:eastAsia="宋体"/>
          <w:b w:val="0"/>
          <w:bCs/>
          <w:sz w:val="24"/>
        </w:rPr>
        <w:t>日志管理</w:t>
      </w:r>
    </w:p>
    <w:p w14:paraId="0E416301">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实现操作日志的可视化查询。提供对操作日志列表形式的管理，可通过日志时间、操作类型等关键字搜索操作日志内容，点击操作日志列表右侧的详情按钮可查看到详细信息。</w:t>
      </w:r>
    </w:p>
    <w:p w14:paraId="7D7FD269">
      <w:pPr>
        <w:pStyle w:val="44"/>
        <w:numPr>
          <w:ilvl w:val="0"/>
          <w:numId w:val="27"/>
        </w:numPr>
        <w:spacing w:line="360" w:lineRule="auto"/>
        <w:ind w:firstLineChars="0"/>
        <w:rPr>
          <w:rFonts w:hint="eastAsia" w:ascii="宋体" w:hAnsi="宋体" w:eastAsia="宋体" w:cs="Arial"/>
          <w:kern w:val="21"/>
          <w:sz w:val="24"/>
        </w:rPr>
      </w:pPr>
      <w:r>
        <w:rPr>
          <w:rFonts w:hint="eastAsia" w:ascii="宋体" w:hAnsi="宋体" w:eastAsia="宋体" w:cs="Arial"/>
          <w:kern w:val="21"/>
          <w:sz w:val="24"/>
        </w:rPr>
        <w:t>操作日志列表</w:t>
      </w:r>
    </w:p>
    <w:p w14:paraId="2BB7F710">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以列表的形式展示操作日志信息，可以点击操作日志列表右侧的详情按钮查看操作日志具体信息</w:t>
      </w:r>
    </w:p>
    <w:p w14:paraId="4B8DF076">
      <w:pPr>
        <w:pStyle w:val="44"/>
        <w:numPr>
          <w:ilvl w:val="0"/>
          <w:numId w:val="27"/>
        </w:numPr>
        <w:spacing w:line="360" w:lineRule="auto"/>
        <w:ind w:firstLineChars="0"/>
        <w:rPr>
          <w:rFonts w:hint="eastAsia" w:ascii="宋体" w:hAnsi="宋体" w:eastAsia="宋体" w:cs="Arial"/>
          <w:kern w:val="21"/>
          <w:sz w:val="24"/>
        </w:rPr>
      </w:pPr>
      <w:r>
        <w:rPr>
          <w:rFonts w:hint="eastAsia" w:ascii="宋体" w:hAnsi="宋体" w:eastAsia="宋体" w:cs="Arial"/>
          <w:kern w:val="21"/>
          <w:sz w:val="24"/>
        </w:rPr>
        <w:t>操作日志查询</w:t>
      </w:r>
    </w:p>
    <w:p w14:paraId="1F4EBBEE">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提供操作日志的查询，可以通过时间等关键字进行查询</w:t>
      </w:r>
    </w:p>
    <w:p w14:paraId="2A8C63DE">
      <w:pPr>
        <w:pStyle w:val="44"/>
        <w:numPr>
          <w:ilvl w:val="0"/>
          <w:numId w:val="27"/>
        </w:numPr>
        <w:spacing w:line="360" w:lineRule="auto"/>
        <w:ind w:firstLineChars="0"/>
        <w:rPr>
          <w:rFonts w:hint="eastAsia" w:ascii="宋体" w:hAnsi="宋体" w:eastAsia="宋体" w:cs="Arial"/>
          <w:kern w:val="21"/>
          <w:sz w:val="24"/>
        </w:rPr>
      </w:pPr>
      <w:r>
        <w:rPr>
          <w:rFonts w:hint="eastAsia" w:ascii="宋体" w:hAnsi="宋体" w:eastAsia="宋体" w:cs="Arial"/>
          <w:kern w:val="21"/>
          <w:sz w:val="24"/>
        </w:rPr>
        <w:t>设备查询</w:t>
      </w:r>
    </w:p>
    <w:p w14:paraId="66DFFD49">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提供设备信息的查询，可以通过设备编号、设备名称、设备类型等关键字进行查询。</w:t>
      </w:r>
    </w:p>
    <w:p w14:paraId="3A04B7DB">
      <w:pPr>
        <w:pStyle w:val="44"/>
        <w:numPr>
          <w:ilvl w:val="0"/>
          <w:numId w:val="27"/>
        </w:numPr>
        <w:spacing w:line="360" w:lineRule="auto"/>
        <w:ind w:firstLineChars="0"/>
        <w:rPr>
          <w:rFonts w:hint="eastAsia" w:ascii="宋体" w:hAnsi="宋体" w:eastAsia="宋体" w:cs="Arial"/>
          <w:kern w:val="21"/>
          <w:sz w:val="24"/>
        </w:rPr>
      </w:pPr>
      <w:r>
        <w:rPr>
          <w:rFonts w:hint="eastAsia" w:ascii="宋体" w:hAnsi="宋体" w:eastAsia="宋体" w:cs="Arial"/>
          <w:kern w:val="21"/>
          <w:sz w:val="24"/>
        </w:rPr>
        <w:t>设备详情展示</w:t>
      </w:r>
    </w:p>
    <w:p w14:paraId="620E1A55">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展示设备具体详细信息，包括设备名称、设备编号、设备地址、设备类型等信息。</w:t>
      </w:r>
    </w:p>
    <w:p w14:paraId="52151D8C">
      <w:pPr>
        <w:pStyle w:val="6"/>
        <w:spacing w:before="0" w:after="0" w:line="360" w:lineRule="auto"/>
        <w:rPr>
          <w:rFonts w:hint="eastAsia" w:ascii="宋体" w:hAnsi="宋体" w:eastAsia="宋体"/>
          <w:sz w:val="24"/>
        </w:rPr>
      </w:pPr>
      <w:bookmarkStart w:id="226" w:name="_Toc175233371"/>
      <w:r>
        <w:rPr>
          <w:rFonts w:hint="eastAsia" w:ascii="宋体" w:hAnsi="宋体" w:eastAsia="宋体"/>
          <w:sz w:val="24"/>
        </w:rPr>
        <w:t>水质在线监测及视频联动报警系统</w:t>
      </w:r>
      <w:bookmarkEnd w:id="226"/>
    </w:p>
    <w:p w14:paraId="0F1B6891">
      <w:pPr>
        <w:pStyle w:val="7"/>
        <w:spacing w:before="0" w:after="0" w:line="360" w:lineRule="auto"/>
        <w:rPr>
          <w:rFonts w:hint="eastAsia" w:ascii="宋体" w:hAnsi="宋体" w:eastAsia="宋体"/>
          <w:b w:val="0"/>
          <w:bCs/>
          <w:sz w:val="24"/>
        </w:rPr>
      </w:pPr>
      <w:r>
        <w:rPr>
          <w:rFonts w:hint="eastAsia" w:ascii="宋体" w:hAnsi="宋体" w:eastAsia="宋体"/>
          <w:b w:val="0"/>
          <w:bCs/>
          <w:sz w:val="24"/>
        </w:rPr>
        <w:t>设备协议对接</w:t>
      </w:r>
    </w:p>
    <w:p w14:paraId="29873AF3">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水质</w:t>
      </w:r>
      <w:bookmarkStart w:id="227" w:name="_Hlk173746275"/>
      <w:r>
        <w:rPr>
          <w:rFonts w:hint="eastAsia" w:ascii="宋体" w:hAnsi="宋体" w:eastAsia="宋体" w:cs="Arial"/>
          <w:kern w:val="21"/>
          <w:sz w:val="24"/>
        </w:rPr>
        <w:t>监测</w:t>
      </w:r>
      <w:bookmarkEnd w:id="227"/>
      <w:r>
        <w:rPr>
          <w:rFonts w:hint="eastAsia" w:ascii="宋体" w:hAnsi="宋体" w:eastAsia="宋体" w:cs="Arial"/>
          <w:kern w:val="21"/>
          <w:sz w:val="24"/>
        </w:rPr>
        <w:t>设备协议对接，平台接入，原始报文保持和查询显示。</w:t>
      </w:r>
    </w:p>
    <w:p w14:paraId="43ED3F90">
      <w:pPr>
        <w:pStyle w:val="7"/>
        <w:spacing w:before="0" w:after="0" w:line="360" w:lineRule="auto"/>
        <w:rPr>
          <w:rFonts w:hint="eastAsia" w:ascii="宋体" w:hAnsi="宋体" w:eastAsia="宋体"/>
          <w:b w:val="0"/>
          <w:bCs/>
          <w:sz w:val="24"/>
        </w:rPr>
      </w:pPr>
      <w:r>
        <w:rPr>
          <w:rFonts w:hint="eastAsia" w:ascii="宋体" w:hAnsi="宋体" w:eastAsia="宋体"/>
          <w:b w:val="0"/>
          <w:bCs/>
          <w:sz w:val="24"/>
        </w:rPr>
        <w:t>水质一张图</w:t>
      </w:r>
    </w:p>
    <w:p w14:paraId="7FAC557E">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水质一张图管理子系统作为水质在线监测系统目标、建设、考核的可视化窗口，提供了整个水质监测的点位安装图、项监测信息图、报警预警图和趋势分析图。管理部门可查看西宁市湟中区建设过程数据与实施效果，包括年度预警总数、采集点总数、水质报警点位信息，以及采集点水质趋势数据，也可通过地图操作查看具体某个点位的现场安装图片和详情及点位的监测数据。该平台的简便化操作和可视化查看功能为政府管理部门的管理工作提供便捷性、高效性的服务。</w:t>
      </w:r>
    </w:p>
    <w:p w14:paraId="1158CF58">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水质一张图管理子系统系统功能应满足以下指标：</w:t>
      </w:r>
    </w:p>
    <w:p w14:paraId="17170D28">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实现西宁市湟中区水质监测实时数据、报警数据、统计图表的一张图的全方位、动态化、可视化展示。</w:t>
      </w:r>
    </w:p>
    <w:p w14:paraId="6A60751F">
      <w:pPr>
        <w:pStyle w:val="44"/>
        <w:numPr>
          <w:ilvl w:val="0"/>
          <w:numId w:val="28"/>
        </w:numPr>
        <w:spacing w:line="360" w:lineRule="auto"/>
        <w:ind w:firstLineChars="0"/>
        <w:rPr>
          <w:rFonts w:hint="eastAsia" w:ascii="宋体" w:hAnsi="宋体" w:eastAsia="宋体"/>
          <w:sz w:val="24"/>
        </w:rPr>
      </w:pPr>
      <w:r>
        <w:rPr>
          <w:rFonts w:hint="eastAsia" w:ascii="宋体" w:hAnsi="宋体" w:eastAsia="宋体"/>
          <w:sz w:val="24"/>
        </w:rPr>
        <w:t>实现对标准地图服务的集成支持，实现基于地图的基本查询功能，包括点击查询、分类查询、设施定位，并且能够对查询结果进行放缩、居中显示操作。</w:t>
      </w:r>
    </w:p>
    <w:p w14:paraId="117A0BF1">
      <w:pPr>
        <w:pStyle w:val="44"/>
        <w:numPr>
          <w:ilvl w:val="0"/>
          <w:numId w:val="28"/>
        </w:numPr>
        <w:spacing w:line="360" w:lineRule="auto"/>
        <w:ind w:firstLineChars="0"/>
        <w:rPr>
          <w:rFonts w:hint="eastAsia" w:ascii="宋体" w:hAnsi="宋体" w:eastAsia="宋体"/>
          <w:sz w:val="24"/>
        </w:rPr>
      </w:pPr>
      <w:r>
        <w:rPr>
          <w:rFonts w:hint="eastAsia" w:ascii="宋体" w:hAnsi="宋体" w:eastAsia="宋体"/>
          <w:sz w:val="24"/>
        </w:rPr>
        <w:t>支持通过鼠标对地图进行放缩、漫游，并提供卫星视图来进行地图视图控制。</w:t>
      </w:r>
    </w:p>
    <w:p w14:paraId="1228E2B0">
      <w:pPr>
        <w:pStyle w:val="44"/>
        <w:numPr>
          <w:ilvl w:val="0"/>
          <w:numId w:val="28"/>
        </w:numPr>
        <w:spacing w:line="360" w:lineRule="auto"/>
        <w:ind w:firstLineChars="0"/>
        <w:rPr>
          <w:rFonts w:hint="eastAsia" w:ascii="宋体" w:hAnsi="宋体" w:eastAsia="宋体"/>
          <w:sz w:val="24"/>
        </w:rPr>
      </w:pPr>
      <w:r>
        <w:rPr>
          <w:rFonts w:hint="eastAsia" w:ascii="宋体" w:hAnsi="宋体" w:eastAsia="宋体"/>
          <w:sz w:val="24"/>
        </w:rPr>
        <w:t>GIS定位：支持GIS上设备状态显示，离线，在线，与报警闪动。</w:t>
      </w:r>
    </w:p>
    <w:p w14:paraId="458D2E03">
      <w:pPr>
        <w:pStyle w:val="44"/>
        <w:numPr>
          <w:ilvl w:val="0"/>
          <w:numId w:val="28"/>
        </w:numPr>
        <w:spacing w:line="360" w:lineRule="auto"/>
        <w:ind w:firstLineChars="0"/>
        <w:rPr>
          <w:rFonts w:hint="eastAsia" w:ascii="宋体" w:hAnsi="宋体" w:eastAsia="宋体"/>
          <w:sz w:val="24"/>
        </w:rPr>
      </w:pPr>
      <w:r>
        <w:rPr>
          <w:rFonts w:hint="eastAsia" w:ascii="宋体" w:hAnsi="宋体" w:eastAsia="宋体"/>
          <w:sz w:val="24"/>
        </w:rPr>
        <w:t>实现多源数据的集成显示，根据比例尺进行数据的无缝切换显示。</w:t>
      </w:r>
    </w:p>
    <w:p w14:paraId="542B0C25">
      <w:pPr>
        <w:pStyle w:val="44"/>
        <w:numPr>
          <w:ilvl w:val="0"/>
          <w:numId w:val="28"/>
        </w:numPr>
        <w:spacing w:line="360" w:lineRule="auto"/>
        <w:ind w:firstLineChars="0"/>
        <w:rPr>
          <w:rFonts w:hint="eastAsia" w:ascii="宋体" w:hAnsi="宋体" w:eastAsia="宋体"/>
          <w:sz w:val="24"/>
        </w:rPr>
      </w:pPr>
      <w:r>
        <w:rPr>
          <w:rFonts w:hint="eastAsia" w:ascii="宋体" w:hAnsi="宋体" w:eastAsia="宋体"/>
          <w:sz w:val="24"/>
        </w:rPr>
        <w:t>实现显示要素的快速切换，并提供多种要素选择模式，方便用户单独进行要素的选择。</w:t>
      </w:r>
    </w:p>
    <w:p w14:paraId="127DC63B">
      <w:pPr>
        <w:pStyle w:val="44"/>
        <w:numPr>
          <w:ilvl w:val="0"/>
          <w:numId w:val="28"/>
        </w:numPr>
        <w:spacing w:line="360" w:lineRule="auto"/>
        <w:ind w:firstLineChars="0"/>
        <w:rPr>
          <w:rFonts w:hint="eastAsia" w:ascii="宋体" w:hAnsi="宋体" w:eastAsia="宋体"/>
          <w:sz w:val="24"/>
        </w:rPr>
      </w:pPr>
      <w:r>
        <w:rPr>
          <w:rFonts w:hint="eastAsia" w:ascii="宋体" w:hAnsi="宋体" w:eastAsia="宋体"/>
          <w:sz w:val="24"/>
        </w:rPr>
        <w:t>实现报警数据的实时查看。</w:t>
      </w:r>
    </w:p>
    <w:p w14:paraId="7E2A704A">
      <w:pPr>
        <w:pStyle w:val="44"/>
        <w:numPr>
          <w:ilvl w:val="0"/>
          <w:numId w:val="28"/>
        </w:numPr>
        <w:spacing w:line="360" w:lineRule="auto"/>
        <w:ind w:firstLineChars="0"/>
        <w:rPr>
          <w:rFonts w:hint="eastAsia" w:ascii="宋体" w:hAnsi="宋体" w:eastAsia="宋体"/>
          <w:sz w:val="24"/>
        </w:rPr>
      </w:pPr>
      <w:r>
        <w:rPr>
          <w:rFonts w:hint="eastAsia" w:ascii="宋体" w:hAnsi="宋体" w:eastAsia="宋体"/>
          <w:sz w:val="24"/>
        </w:rPr>
        <w:t>实现监测设备报警时，视频联动现场画面查看。</w:t>
      </w:r>
    </w:p>
    <w:p w14:paraId="3D22C330">
      <w:pPr>
        <w:pStyle w:val="44"/>
        <w:numPr>
          <w:ilvl w:val="0"/>
          <w:numId w:val="28"/>
        </w:numPr>
        <w:spacing w:line="360" w:lineRule="auto"/>
        <w:ind w:firstLineChars="0"/>
        <w:rPr>
          <w:rFonts w:hint="eastAsia" w:ascii="宋体" w:hAnsi="宋体" w:eastAsia="宋体"/>
          <w:sz w:val="24"/>
        </w:rPr>
      </w:pPr>
      <w:r>
        <w:rPr>
          <w:rFonts w:hint="eastAsia" w:ascii="宋体" w:hAnsi="宋体" w:eastAsia="宋体"/>
          <w:sz w:val="24"/>
        </w:rPr>
        <w:t>实现对报警数据的趋势统计分析。</w:t>
      </w:r>
    </w:p>
    <w:p w14:paraId="79A6EF76">
      <w:pPr>
        <w:pStyle w:val="7"/>
        <w:spacing w:before="0" w:after="0" w:line="360" w:lineRule="auto"/>
        <w:rPr>
          <w:rFonts w:hint="eastAsia" w:ascii="宋体" w:hAnsi="宋体" w:eastAsia="宋体"/>
          <w:b w:val="0"/>
          <w:bCs/>
          <w:sz w:val="24"/>
        </w:rPr>
      </w:pPr>
      <w:r>
        <w:rPr>
          <w:rFonts w:hint="eastAsia" w:ascii="宋体" w:hAnsi="宋体" w:eastAsia="宋体"/>
          <w:b w:val="0"/>
          <w:bCs/>
          <w:sz w:val="24"/>
        </w:rPr>
        <w:t>报表分析</w:t>
      </w:r>
    </w:p>
    <w:p w14:paraId="143D78B5">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通过对大量基础数据按照系统设定的规则进行智能化分析，获得用户需要的不同类型的报表视图，列表视图以及图形视图。提供数据快速导出保存，各类数据的展示等功能。</w:t>
      </w:r>
    </w:p>
    <w:p w14:paraId="154C6E88">
      <w:pPr>
        <w:pStyle w:val="7"/>
        <w:spacing w:before="0" w:after="0" w:line="360" w:lineRule="auto"/>
        <w:rPr>
          <w:rFonts w:hint="eastAsia" w:ascii="宋体" w:hAnsi="宋体" w:eastAsia="宋体"/>
          <w:b w:val="0"/>
          <w:bCs/>
          <w:sz w:val="24"/>
        </w:rPr>
      </w:pPr>
      <w:r>
        <w:rPr>
          <w:rFonts w:hint="eastAsia" w:ascii="宋体" w:hAnsi="宋体" w:eastAsia="宋体"/>
          <w:b w:val="0"/>
          <w:bCs/>
          <w:sz w:val="24"/>
        </w:rPr>
        <w:t>实时报警</w:t>
      </w:r>
    </w:p>
    <w:p w14:paraId="3039026B">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当监测到水质报警时，平台实时弹出，并以声光报警显示提醒用户，报警数据根据时间和设备进行筛选查询等。</w:t>
      </w:r>
    </w:p>
    <w:p w14:paraId="161E8064">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报警阀值远程可配置。</w:t>
      </w:r>
    </w:p>
    <w:p w14:paraId="2B3034AD">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历史告警记录查询，支持数据导出。</w:t>
      </w:r>
    </w:p>
    <w:p w14:paraId="73619B19">
      <w:pPr>
        <w:pStyle w:val="7"/>
        <w:spacing w:before="0" w:after="0" w:line="360" w:lineRule="auto"/>
        <w:rPr>
          <w:rFonts w:hint="eastAsia" w:ascii="宋体" w:hAnsi="宋体" w:eastAsia="宋体"/>
          <w:b w:val="0"/>
          <w:bCs/>
          <w:sz w:val="24"/>
        </w:rPr>
      </w:pPr>
      <w:r>
        <w:rPr>
          <w:rFonts w:hint="eastAsia" w:ascii="宋体" w:hAnsi="宋体" w:eastAsia="宋体"/>
          <w:b w:val="0"/>
          <w:bCs/>
          <w:sz w:val="24"/>
        </w:rPr>
        <w:t>视频联动</w:t>
      </w:r>
    </w:p>
    <w:p w14:paraId="02880E83">
      <w:pPr>
        <w:spacing w:line="360" w:lineRule="auto"/>
        <w:ind w:firstLine="480" w:firstLineChars="200"/>
        <w:rPr>
          <w:rFonts w:hint="eastAsia" w:ascii="宋体" w:hAnsi="宋体" w:eastAsia="宋体" w:cs="Arial"/>
          <w:kern w:val="21"/>
          <w:sz w:val="24"/>
        </w:rPr>
      </w:pPr>
      <w:r>
        <w:rPr>
          <w:rFonts w:hint="eastAsia" w:ascii="宋体" w:hAnsi="宋体" w:eastAsia="宋体"/>
          <w:sz w:val="24"/>
        </w:rPr>
        <w:t>当监测到报警时，自动联动报警点位旁边的监控，进行报警抓拍，同时上传至平台，可以查询报警时现场画面。同时支持摄像头点位，与水质监测点位绑定功能。通过网络实现远程查看</w:t>
      </w:r>
      <w:r>
        <w:rPr>
          <w:rFonts w:hint="eastAsia" w:ascii="宋体" w:hAnsi="宋体" w:eastAsia="宋体" w:cs="Arial"/>
          <w:kern w:val="21"/>
          <w:sz w:val="24"/>
        </w:rPr>
        <w:t>。</w:t>
      </w:r>
    </w:p>
    <w:p w14:paraId="38A177F4">
      <w:pPr>
        <w:pStyle w:val="6"/>
        <w:spacing w:before="0" w:after="0" w:line="360" w:lineRule="auto"/>
        <w:rPr>
          <w:rFonts w:hint="eastAsia" w:ascii="宋体" w:hAnsi="宋体" w:eastAsia="宋体"/>
          <w:sz w:val="24"/>
        </w:rPr>
      </w:pPr>
      <w:bookmarkStart w:id="228" w:name="_Toc175233372"/>
      <w:r>
        <w:rPr>
          <w:rFonts w:hint="eastAsia" w:ascii="宋体" w:hAnsi="宋体" w:eastAsia="宋体"/>
          <w:sz w:val="24"/>
        </w:rPr>
        <w:t>视频监控及算法自动报警系统</w:t>
      </w:r>
      <w:bookmarkEnd w:id="228"/>
    </w:p>
    <w:p w14:paraId="2583A69C">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水源地15处关键点视频智能监控，发现人员违规行为实时报警，现场图片传送至系统平台，支持多种方式通知管理人员。</w:t>
      </w:r>
    </w:p>
    <w:p w14:paraId="469B666B">
      <w:pPr>
        <w:spacing w:line="360" w:lineRule="auto"/>
        <w:jc w:val="center"/>
        <w:rPr>
          <w:rFonts w:hint="eastAsia" w:ascii="宋体" w:hAnsi="宋体" w:eastAsia="宋体" w:cs="Arial"/>
          <w:kern w:val="21"/>
          <w:sz w:val="24"/>
        </w:rPr>
      </w:pPr>
      <w:r>
        <w:rPr>
          <w:rFonts w:ascii="宋体" w:hAnsi="宋体" w:eastAsia="宋体"/>
          <w:sz w:val="24"/>
        </w:rPr>
        <w:drawing>
          <wp:inline distT="0" distB="0" distL="114300" distR="114300">
            <wp:extent cx="3435985" cy="3155315"/>
            <wp:effectExtent l="0" t="0" r="0" b="6985"/>
            <wp:docPr id="3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6"/>
                    <pic:cNvPicPr>
                      <a:picLocks noChangeAspect="1"/>
                    </pic:cNvPicPr>
                  </pic:nvPicPr>
                  <pic:blipFill>
                    <a:blip r:embed="rId44"/>
                    <a:stretch>
                      <a:fillRect/>
                    </a:stretch>
                  </pic:blipFill>
                  <pic:spPr>
                    <a:xfrm>
                      <a:off x="0" y="0"/>
                      <a:ext cx="3439635" cy="3158740"/>
                    </a:xfrm>
                    <a:prstGeom prst="rect">
                      <a:avLst/>
                    </a:prstGeom>
                    <a:noFill/>
                    <a:ln>
                      <a:noFill/>
                    </a:ln>
                  </pic:spPr>
                </pic:pic>
              </a:graphicData>
            </a:graphic>
          </wp:inline>
        </w:drawing>
      </w:r>
    </w:p>
    <w:p w14:paraId="52B4F61B">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视频智能监控及报警系统的工作流程如下：</w:t>
      </w:r>
    </w:p>
    <w:p w14:paraId="03523E7B">
      <w:pPr>
        <w:spacing w:line="360" w:lineRule="auto"/>
        <w:rPr>
          <w:rFonts w:hint="eastAsia" w:ascii="宋体" w:hAnsi="宋体" w:eastAsia="宋体" w:cs="Arial"/>
          <w:kern w:val="21"/>
          <w:sz w:val="24"/>
        </w:rPr>
      </w:pPr>
      <w:r>
        <w:rPr>
          <w:rFonts w:ascii="宋体" w:hAnsi="宋体" w:eastAsia="宋体" w:cs="Arial"/>
          <w:kern w:val="21"/>
          <w:sz w:val="24"/>
        </w:rPr>
        <w:drawing>
          <wp:inline distT="0" distB="0" distL="0" distR="0">
            <wp:extent cx="5270500" cy="4986020"/>
            <wp:effectExtent l="0" t="0" r="6350" b="5080"/>
            <wp:docPr id="164475530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755307" name="图片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270500" cy="4986020"/>
                    </a:xfrm>
                    <a:prstGeom prst="rect">
                      <a:avLst/>
                    </a:prstGeom>
                    <a:noFill/>
                    <a:ln>
                      <a:noFill/>
                    </a:ln>
                  </pic:spPr>
                </pic:pic>
              </a:graphicData>
            </a:graphic>
          </wp:inline>
        </w:drawing>
      </w:r>
    </w:p>
    <w:p w14:paraId="0533B1E7">
      <w:pPr>
        <w:pStyle w:val="44"/>
        <w:numPr>
          <w:ilvl w:val="2"/>
          <w:numId w:val="29"/>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首先利用前景检测技术将视频图像中的前景中从图像背景中分离出来，前景即是视频图像中变化剧烈的图像区域</w:t>
      </w:r>
    </w:p>
    <w:p w14:paraId="2B3CADC2">
      <w:pPr>
        <w:pStyle w:val="44"/>
        <w:numPr>
          <w:ilvl w:val="2"/>
          <w:numId w:val="29"/>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目标检测技术分析前景团块在视频序列中的状态，将具有稳定存在状态及运动规律的前景作为运动目标提取出来</w:t>
      </w:r>
    </w:p>
    <w:p w14:paraId="51E2B6D8">
      <w:pPr>
        <w:pStyle w:val="44"/>
        <w:numPr>
          <w:ilvl w:val="2"/>
          <w:numId w:val="29"/>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目标跟踪技术利用运动目标的历史信息预测运动目标在本帧中可能出现的位置，并在预测位置附近搜索特征梯度符合的运动目标</w:t>
      </w:r>
    </w:p>
    <w:p w14:paraId="018D6316">
      <w:pPr>
        <w:pStyle w:val="44"/>
        <w:numPr>
          <w:ilvl w:val="2"/>
          <w:numId w:val="29"/>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目标分类技术对跟踪成功的目标进行分类，将不同物体进行区分。目标分类技术利用一些图像特征值实现目标类型的甄别，例如目</w:t>
      </w:r>
    </w:p>
    <w:p w14:paraId="281F0049">
      <w:pPr>
        <w:pStyle w:val="44"/>
        <w:numPr>
          <w:ilvl w:val="2"/>
          <w:numId w:val="29"/>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标轮廓、目标尺寸、目标纹理等等</w:t>
      </w:r>
    </w:p>
    <w:p w14:paraId="485ABA53">
      <w:pPr>
        <w:pStyle w:val="44"/>
        <w:numPr>
          <w:ilvl w:val="2"/>
          <w:numId w:val="29"/>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轨迹分析技术对跟踪成功的目标的运动轨迹进行分析，对运动轨迹进行平滑及误差修正，使目标的运动轨迹更加接近于真实状态</w:t>
      </w:r>
    </w:p>
    <w:p w14:paraId="5BAAE445">
      <w:pPr>
        <w:pStyle w:val="44"/>
        <w:numPr>
          <w:ilvl w:val="2"/>
          <w:numId w:val="29"/>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事件检测技术将目标信息实时更新，并且用户设定的报警规则进行逻辑判断，判断是否有目标触发了报警规则，并做出报警响应</w:t>
      </w:r>
    </w:p>
    <w:p w14:paraId="4604129E">
      <w:pPr>
        <w:pStyle w:val="7"/>
        <w:spacing w:before="0" w:after="0" w:line="360" w:lineRule="auto"/>
        <w:rPr>
          <w:rFonts w:hint="eastAsia" w:ascii="宋体" w:hAnsi="宋体" w:eastAsia="宋体"/>
          <w:b w:val="0"/>
          <w:bCs/>
          <w:sz w:val="24"/>
        </w:rPr>
      </w:pPr>
      <w:r>
        <w:rPr>
          <w:rFonts w:hint="eastAsia" w:ascii="宋体" w:hAnsi="宋体" w:eastAsia="宋体"/>
          <w:b w:val="0"/>
          <w:bCs/>
          <w:sz w:val="24"/>
        </w:rPr>
        <w:t>视频监控架构</w:t>
      </w:r>
    </w:p>
    <w:p w14:paraId="254B124A">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视频监控系统利用移动网络进行视频数据传输和监控，适用于各种需要远程监控的场景。警戒球机将采集到的视频数据通过移动网络传输到远程监控中心，实现远程实时监控、视频存储、算法联动等功能。具有部署灵活、传输稳定等优点。</w:t>
      </w:r>
    </w:p>
    <w:p w14:paraId="4C096105">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前端采集设备：主要包括警戒球机，通过网络将视频数据传输到远程监控中心。</w:t>
      </w:r>
    </w:p>
    <w:p w14:paraId="1EDBE93D">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视频传输网络：利用移动网络作为视频数据传输的主要通道，确保视频数据能够稳定、快速地传输到远程监控中心。</w:t>
      </w:r>
    </w:p>
    <w:p w14:paraId="758F9CA1">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中心管理服务器：负责接收前端摄像头传输过来的视频数据，并进行处理、分析等操作。中心管理服务器通常具备强大的数据处理能力和高可靠性的系统，以确保视频数据的安全性和完整性。</w:t>
      </w:r>
    </w:p>
    <w:p w14:paraId="2178B3AB">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中心管理客户端：为用户提供远程监控、视频回放、报警处理等功能。用户可以通过电脑、手机等终端设备访问中心管理服务器，实现远程实时监控和管理。</w:t>
      </w:r>
    </w:p>
    <w:p w14:paraId="2E915F3E">
      <w:pPr>
        <w:pStyle w:val="7"/>
        <w:spacing w:before="0" w:after="0" w:line="360" w:lineRule="auto"/>
        <w:rPr>
          <w:rFonts w:hint="eastAsia" w:ascii="宋体" w:hAnsi="宋体" w:eastAsia="宋体"/>
          <w:b w:val="0"/>
          <w:bCs/>
          <w:sz w:val="24"/>
        </w:rPr>
      </w:pPr>
      <w:r>
        <w:rPr>
          <w:rFonts w:hint="eastAsia" w:ascii="宋体" w:hAnsi="宋体" w:eastAsia="宋体"/>
          <w:b w:val="0"/>
          <w:bCs/>
          <w:sz w:val="24"/>
        </w:rPr>
        <w:t>系统功能</w:t>
      </w:r>
    </w:p>
    <w:p w14:paraId="19FFA93D">
      <w:pPr>
        <w:pStyle w:val="44"/>
        <w:numPr>
          <w:ilvl w:val="0"/>
          <w:numId w:val="30"/>
        </w:numPr>
        <w:spacing w:line="360" w:lineRule="auto"/>
        <w:ind w:left="0" w:firstLine="200" w:firstLineChars="0"/>
        <w:rPr>
          <w:rFonts w:hint="eastAsia" w:ascii="宋体" w:hAnsi="宋体" w:eastAsia="宋体"/>
          <w:sz w:val="24"/>
        </w:rPr>
      </w:pPr>
      <w:r>
        <w:rPr>
          <w:rFonts w:hint="eastAsia" w:ascii="宋体" w:hAnsi="宋体" w:eastAsia="宋体"/>
          <w:sz w:val="24"/>
        </w:rPr>
        <w:t>视频监控</w:t>
      </w:r>
    </w:p>
    <w:p w14:paraId="000C493A">
      <w:pPr>
        <w:pStyle w:val="44"/>
        <w:numPr>
          <w:ilvl w:val="0"/>
          <w:numId w:val="31"/>
        </w:numPr>
        <w:spacing w:line="360" w:lineRule="auto"/>
        <w:ind w:left="0" w:firstLine="200" w:firstLineChars="0"/>
        <w:rPr>
          <w:rFonts w:hint="eastAsia" w:ascii="宋体" w:hAnsi="宋体" w:eastAsia="宋体"/>
          <w:sz w:val="24"/>
        </w:rPr>
      </w:pPr>
      <w:r>
        <w:rPr>
          <w:rFonts w:hint="eastAsia" w:ascii="宋体" w:hAnsi="宋体" w:eastAsia="宋体"/>
          <w:sz w:val="24"/>
        </w:rPr>
        <w:t>支持WEB浏览器，通过视频控件的形式进行监控点实时画面预览；</w:t>
      </w:r>
    </w:p>
    <w:p w14:paraId="7261F528">
      <w:pPr>
        <w:pStyle w:val="44"/>
        <w:numPr>
          <w:ilvl w:val="0"/>
          <w:numId w:val="31"/>
        </w:numPr>
        <w:spacing w:line="360" w:lineRule="auto"/>
        <w:ind w:left="0" w:firstLine="200" w:firstLineChars="0"/>
        <w:rPr>
          <w:rFonts w:hint="eastAsia" w:ascii="宋体" w:hAnsi="宋体" w:eastAsia="宋体"/>
          <w:sz w:val="24"/>
        </w:rPr>
      </w:pPr>
      <w:r>
        <w:rPr>
          <w:rFonts w:hint="eastAsia" w:ascii="宋体" w:hAnsi="宋体" w:eastAsia="宋体"/>
          <w:sz w:val="24"/>
        </w:rPr>
        <w:t>支持在浏览器中嵌入视频插件，优化WEB端视频预览体验；</w:t>
      </w:r>
    </w:p>
    <w:p w14:paraId="3306FD7D">
      <w:pPr>
        <w:pStyle w:val="44"/>
        <w:numPr>
          <w:ilvl w:val="0"/>
          <w:numId w:val="31"/>
        </w:numPr>
        <w:spacing w:line="360" w:lineRule="auto"/>
        <w:ind w:left="0" w:firstLine="200" w:firstLineChars="0"/>
        <w:rPr>
          <w:rFonts w:hint="eastAsia" w:ascii="宋体" w:hAnsi="宋体" w:eastAsia="宋体"/>
          <w:sz w:val="24"/>
        </w:rPr>
      </w:pPr>
      <w:r>
        <w:rPr>
          <w:rFonts w:hint="eastAsia" w:ascii="宋体" w:hAnsi="宋体" w:eastAsia="宋体"/>
          <w:sz w:val="24"/>
        </w:rPr>
        <w:t>支持视频监控点资源树上展示监控点在线/离线状态；</w:t>
      </w:r>
    </w:p>
    <w:p w14:paraId="2E377290">
      <w:pPr>
        <w:pStyle w:val="44"/>
        <w:numPr>
          <w:ilvl w:val="0"/>
          <w:numId w:val="31"/>
        </w:numPr>
        <w:spacing w:line="360" w:lineRule="auto"/>
        <w:ind w:left="0" w:firstLine="200" w:firstLineChars="0"/>
        <w:rPr>
          <w:rFonts w:hint="eastAsia" w:ascii="宋体" w:hAnsi="宋体" w:eastAsia="宋体"/>
          <w:sz w:val="24"/>
        </w:rPr>
      </w:pPr>
      <w:r>
        <w:rPr>
          <w:rFonts w:hint="eastAsia" w:ascii="宋体" w:hAnsi="宋体" w:eastAsia="宋体"/>
          <w:sz w:val="24"/>
        </w:rPr>
        <w:t>支持各区域监控点在线数展示；方便用户直观的了解各区域监控点的在线情况；</w:t>
      </w:r>
    </w:p>
    <w:p w14:paraId="2032C319">
      <w:pPr>
        <w:pStyle w:val="44"/>
        <w:numPr>
          <w:ilvl w:val="0"/>
          <w:numId w:val="31"/>
        </w:numPr>
        <w:spacing w:line="360" w:lineRule="auto"/>
        <w:ind w:left="0" w:firstLine="200" w:firstLineChars="0"/>
        <w:rPr>
          <w:rFonts w:hint="eastAsia" w:ascii="宋体" w:hAnsi="宋体" w:eastAsia="宋体"/>
          <w:sz w:val="24"/>
        </w:rPr>
      </w:pPr>
      <w:r>
        <w:rPr>
          <w:rFonts w:hint="eastAsia" w:ascii="宋体" w:hAnsi="宋体" w:eastAsia="宋体"/>
          <w:sz w:val="24"/>
        </w:rPr>
        <w:t>支持GIS上查看各监控点；</w:t>
      </w:r>
    </w:p>
    <w:p w14:paraId="5673662E">
      <w:pPr>
        <w:pStyle w:val="44"/>
        <w:numPr>
          <w:ilvl w:val="0"/>
          <w:numId w:val="31"/>
        </w:numPr>
        <w:spacing w:line="360" w:lineRule="auto"/>
        <w:ind w:left="0" w:firstLine="200" w:firstLineChars="0"/>
        <w:rPr>
          <w:rFonts w:hint="eastAsia" w:ascii="宋体" w:hAnsi="宋体" w:eastAsia="宋体"/>
          <w:sz w:val="24"/>
        </w:rPr>
      </w:pPr>
      <w:r>
        <w:rPr>
          <w:rFonts w:hint="eastAsia" w:ascii="宋体" w:hAnsi="宋体" w:eastAsia="宋体"/>
          <w:sz w:val="24"/>
        </w:rPr>
        <w:t>支持视频播放窗口布局切换，包含1、4、9、16常规画面分割；</w:t>
      </w:r>
    </w:p>
    <w:p w14:paraId="2423D338">
      <w:pPr>
        <w:pStyle w:val="44"/>
        <w:numPr>
          <w:ilvl w:val="0"/>
          <w:numId w:val="31"/>
        </w:numPr>
        <w:spacing w:line="360" w:lineRule="auto"/>
        <w:ind w:left="0" w:firstLine="200" w:firstLineChars="0"/>
        <w:rPr>
          <w:rFonts w:hint="eastAsia" w:ascii="宋体" w:hAnsi="宋体" w:eastAsia="宋体"/>
          <w:sz w:val="24"/>
        </w:rPr>
      </w:pPr>
      <w:r>
        <w:rPr>
          <w:rFonts w:hint="eastAsia" w:ascii="宋体" w:hAnsi="宋体" w:eastAsia="宋体"/>
          <w:sz w:val="24"/>
        </w:rPr>
        <w:t>支持云端传输及预览回放；</w:t>
      </w:r>
    </w:p>
    <w:p w14:paraId="0D6AE363">
      <w:pPr>
        <w:pStyle w:val="44"/>
        <w:numPr>
          <w:ilvl w:val="0"/>
          <w:numId w:val="31"/>
        </w:numPr>
        <w:spacing w:line="360" w:lineRule="auto"/>
        <w:ind w:left="0" w:firstLine="200" w:firstLineChars="0"/>
        <w:rPr>
          <w:rFonts w:hint="eastAsia" w:ascii="宋体" w:hAnsi="宋体" w:eastAsia="宋体"/>
          <w:sz w:val="24"/>
        </w:rPr>
      </w:pPr>
      <w:r>
        <w:rPr>
          <w:rFonts w:hint="eastAsia" w:ascii="宋体" w:hAnsi="宋体" w:eastAsia="宋体"/>
          <w:sz w:val="24"/>
        </w:rPr>
        <w:t>支持去控件化实现视频预览功能。</w:t>
      </w:r>
    </w:p>
    <w:p w14:paraId="58A210D9">
      <w:pPr>
        <w:pStyle w:val="44"/>
        <w:numPr>
          <w:ilvl w:val="0"/>
          <w:numId w:val="30"/>
        </w:numPr>
        <w:spacing w:line="360" w:lineRule="auto"/>
        <w:ind w:left="0" w:firstLine="200" w:firstLineChars="0"/>
        <w:rPr>
          <w:rFonts w:hint="eastAsia" w:ascii="宋体" w:hAnsi="宋体" w:eastAsia="宋体"/>
          <w:sz w:val="24"/>
        </w:rPr>
      </w:pPr>
      <w:r>
        <w:rPr>
          <w:rFonts w:hint="eastAsia" w:ascii="宋体" w:hAnsi="宋体" w:eastAsia="宋体"/>
          <w:sz w:val="24"/>
        </w:rPr>
        <w:t>云台控制</w:t>
      </w:r>
    </w:p>
    <w:p w14:paraId="5C6D4466">
      <w:pPr>
        <w:spacing w:line="360" w:lineRule="auto"/>
        <w:ind w:firstLine="480" w:firstLineChars="200"/>
        <w:rPr>
          <w:rFonts w:hint="eastAsia" w:ascii="宋体" w:hAnsi="宋体" w:eastAsia="宋体"/>
          <w:sz w:val="24"/>
        </w:rPr>
      </w:pPr>
      <w:r>
        <w:rPr>
          <w:rFonts w:hint="eastAsia" w:ascii="宋体" w:hAnsi="宋体" w:eastAsia="宋体" w:cs="Arial"/>
          <w:kern w:val="21"/>
          <w:sz w:val="24"/>
        </w:rPr>
        <w:t>用户可以通过中心管理客户端远程控制前端摄像头的云台，实现监控画面的上下左右移动和变焦等操作。</w:t>
      </w:r>
    </w:p>
    <w:p w14:paraId="66E5E8A6">
      <w:pPr>
        <w:pStyle w:val="44"/>
        <w:numPr>
          <w:ilvl w:val="0"/>
          <w:numId w:val="30"/>
        </w:numPr>
        <w:spacing w:line="360" w:lineRule="auto"/>
        <w:ind w:left="0" w:firstLine="200" w:firstLineChars="0"/>
        <w:rPr>
          <w:rFonts w:hint="eastAsia" w:ascii="宋体" w:hAnsi="宋体" w:eastAsia="宋体"/>
          <w:sz w:val="24"/>
        </w:rPr>
      </w:pPr>
      <w:r>
        <w:rPr>
          <w:rFonts w:hint="eastAsia" w:ascii="宋体" w:hAnsi="宋体" w:eastAsia="宋体"/>
          <w:sz w:val="24"/>
        </w:rPr>
        <w:t>视频识别算法</w:t>
      </w:r>
    </w:p>
    <w:p w14:paraId="1D1B2237">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水源地关键点位视频智能监控，支持漂浮物、船只、河岸垃圾、违建等智能算法检测识别。</w:t>
      </w:r>
    </w:p>
    <w:p w14:paraId="34FC5FC3">
      <w:pPr>
        <w:pStyle w:val="44"/>
        <w:numPr>
          <w:ilvl w:val="0"/>
          <w:numId w:val="30"/>
        </w:numPr>
        <w:spacing w:line="360" w:lineRule="auto"/>
        <w:ind w:left="0" w:firstLine="200" w:firstLineChars="0"/>
        <w:rPr>
          <w:rFonts w:hint="eastAsia" w:ascii="宋体" w:hAnsi="宋体" w:eastAsia="宋体"/>
          <w:sz w:val="24"/>
        </w:rPr>
      </w:pPr>
      <w:r>
        <w:rPr>
          <w:rFonts w:hint="eastAsia" w:ascii="宋体" w:hAnsi="宋体" w:eastAsia="宋体"/>
          <w:sz w:val="24"/>
        </w:rPr>
        <w:t>报警通知</w:t>
      </w:r>
    </w:p>
    <w:p w14:paraId="50F29621">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水源地关键点位视频智能监控，发现人员违规行为实时报警，现场图片传送至系统平台，系统自动弹出报警对话框，支持声光报警，支持短信息和电话语音通知管理人员。</w:t>
      </w:r>
    </w:p>
    <w:p w14:paraId="0576451C">
      <w:pPr>
        <w:pStyle w:val="44"/>
        <w:numPr>
          <w:ilvl w:val="0"/>
          <w:numId w:val="30"/>
        </w:numPr>
        <w:spacing w:line="360" w:lineRule="auto"/>
        <w:ind w:left="0" w:firstLine="200" w:firstLineChars="0"/>
        <w:rPr>
          <w:rFonts w:hint="eastAsia" w:ascii="宋体" w:hAnsi="宋体" w:eastAsia="宋体"/>
          <w:sz w:val="24"/>
        </w:rPr>
      </w:pPr>
      <w:r>
        <w:rPr>
          <w:rFonts w:hint="eastAsia" w:ascii="宋体" w:hAnsi="宋体" w:eastAsia="宋体"/>
          <w:sz w:val="24"/>
        </w:rPr>
        <w:t>报警消息管理</w:t>
      </w:r>
    </w:p>
    <w:p w14:paraId="254603D6">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通过列表的形式显示，报警数据，支持安装报警类型和报警时间进行筛选过滤。</w:t>
      </w:r>
    </w:p>
    <w:p w14:paraId="0A0DF938">
      <w:pPr>
        <w:pStyle w:val="44"/>
        <w:numPr>
          <w:ilvl w:val="0"/>
          <w:numId w:val="30"/>
        </w:numPr>
        <w:spacing w:line="360" w:lineRule="auto"/>
        <w:ind w:left="0" w:firstLine="200" w:firstLineChars="0"/>
        <w:rPr>
          <w:rFonts w:hint="eastAsia" w:ascii="宋体" w:hAnsi="宋体" w:eastAsia="宋体"/>
          <w:sz w:val="24"/>
        </w:rPr>
      </w:pPr>
      <w:r>
        <w:rPr>
          <w:rFonts w:hint="eastAsia" w:ascii="宋体" w:hAnsi="宋体" w:eastAsia="宋体"/>
          <w:sz w:val="24"/>
        </w:rPr>
        <w:t>GIS地图</w:t>
      </w:r>
    </w:p>
    <w:p w14:paraId="551E8FF7">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在GIS地图上，实时显示各安装监控点位，通过GIS上点击监控可以实时查看现场监控画面。报警的监控红色显示。</w:t>
      </w:r>
    </w:p>
    <w:p w14:paraId="1085E088">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br w:type="page"/>
      </w:r>
    </w:p>
    <w:p w14:paraId="7B038729">
      <w:pPr>
        <w:pStyle w:val="2"/>
        <w:spacing w:before="120" w:after="120" w:line="360" w:lineRule="auto"/>
        <w:jc w:val="center"/>
      </w:pPr>
      <w:bookmarkStart w:id="229" w:name="_Toc175233373"/>
      <w:r>
        <w:rPr>
          <w:rFonts w:hint="eastAsia"/>
        </w:rPr>
        <w:t>项目施工组织设计</w:t>
      </w:r>
      <w:bookmarkEnd w:id="229"/>
    </w:p>
    <w:p w14:paraId="51653438">
      <w:pPr>
        <w:pStyle w:val="3"/>
        <w:spacing w:before="0" w:after="0" w:line="360" w:lineRule="auto"/>
        <w:rPr>
          <w:rFonts w:hint="eastAsia" w:ascii="宋体" w:hAnsi="宋体" w:eastAsia="宋体"/>
          <w:sz w:val="28"/>
          <w:szCs w:val="28"/>
        </w:rPr>
      </w:pPr>
      <w:bookmarkStart w:id="230" w:name="_Toc175233374"/>
      <w:r>
        <w:rPr>
          <w:rFonts w:hint="eastAsia" w:ascii="宋体" w:hAnsi="宋体" w:eastAsia="宋体"/>
          <w:sz w:val="28"/>
          <w:szCs w:val="28"/>
        </w:rPr>
        <w:t>项目施工前准备</w:t>
      </w:r>
      <w:bookmarkEnd w:id="230"/>
    </w:p>
    <w:p w14:paraId="329119CB">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施工单位中标后，应建立用户联系人员表：提交给项目小组，以便他们在到达现场前进行环境调查和在现场与其配合工作，减少因联络不力造成不必要的麻烦。</w:t>
      </w:r>
    </w:p>
    <w:p w14:paraId="0397453C">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在施工前，施工单位及时和建设单位进行沟通确定每日具体的施工时间和施工楼层，以保证施工正常有序进行。施工单位负责将货物运到指定地点，负责办理运输和装卸，安装等，费用由施工单位负责，由建设单位组织验收，检验不合格或不符合质量要求，施工单位无条件退货、返工，免费更好全新未拆封的设备。</w:t>
      </w:r>
    </w:p>
    <w:p w14:paraId="5D47C305">
      <w:pPr>
        <w:pStyle w:val="3"/>
        <w:spacing w:before="0" w:after="0" w:line="360" w:lineRule="auto"/>
        <w:rPr>
          <w:rFonts w:hint="eastAsia" w:ascii="宋体" w:hAnsi="宋体" w:eastAsia="宋体"/>
          <w:sz w:val="28"/>
          <w:szCs w:val="28"/>
        </w:rPr>
      </w:pPr>
      <w:bookmarkStart w:id="231" w:name="_Toc175233375"/>
      <w:r>
        <w:rPr>
          <w:rFonts w:hint="eastAsia" w:ascii="宋体" w:hAnsi="宋体" w:eastAsia="宋体"/>
          <w:sz w:val="28"/>
          <w:szCs w:val="28"/>
        </w:rPr>
        <w:t>项目施工人员</w:t>
      </w:r>
      <w:bookmarkEnd w:id="231"/>
    </w:p>
    <w:p w14:paraId="251187CF">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本次项目中标的施工单位应组成施工小组，施工小组成员包括：项目经理、技术工程师、软件研发人员、硬件研发人员、培训人员及文档管理人员。人员组织结构及分工说明：</w:t>
      </w:r>
    </w:p>
    <w:p w14:paraId="2C93E6BE">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项目经理：项目组织与实施；协调工程相关各方关系；与用户联系，保证现场环境满足部署调试要求；制订项目实施计划；技术方案设计；控制项目进度；人员调动；对项目实施质量进行监督、现场指导、组织验收。</w:t>
      </w:r>
    </w:p>
    <w:p w14:paraId="4107D8FF">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研发小组：实施技术人员组成，设备安装调试、平台研发测试；保证工程按期完成。处理与项目相关的其它问题等。</w:t>
      </w:r>
    </w:p>
    <w:p w14:paraId="651C7D89">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培训小组：负责对建设单位管理员、操作员及管理人员进行培训。</w:t>
      </w:r>
    </w:p>
    <w:p w14:paraId="1108D4E0">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文档管理组：负责提供项目相关的文档。</w:t>
      </w:r>
    </w:p>
    <w:p w14:paraId="1ADB62A1">
      <w:pPr>
        <w:pStyle w:val="3"/>
        <w:spacing w:before="0" w:after="0" w:line="360" w:lineRule="auto"/>
        <w:rPr>
          <w:rFonts w:hint="eastAsia" w:ascii="宋体" w:hAnsi="宋体" w:eastAsia="宋体"/>
          <w:sz w:val="28"/>
          <w:szCs w:val="28"/>
        </w:rPr>
      </w:pPr>
      <w:bookmarkStart w:id="232" w:name="_Toc175233376"/>
      <w:bookmarkStart w:id="233" w:name="_Toc165906794"/>
      <w:bookmarkStart w:id="234" w:name="_Toc493702841"/>
      <w:bookmarkStart w:id="235" w:name="_Toc165896077"/>
      <w:bookmarkStart w:id="236" w:name="_Toc165909247"/>
      <w:bookmarkStart w:id="237" w:name="_Toc172620064"/>
      <w:bookmarkStart w:id="238" w:name="_Toc15975904"/>
      <w:r>
        <w:rPr>
          <w:rFonts w:hint="eastAsia" w:ascii="宋体" w:hAnsi="宋体" w:eastAsia="宋体"/>
          <w:sz w:val="28"/>
          <w:szCs w:val="28"/>
        </w:rPr>
        <w:t>项目施工计划</w:t>
      </w:r>
      <w:bookmarkEnd w:id="232"/>
    </w:p>
    <w:p w14:paraId="6D637860">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进场准备工作阶段：合同签订、项目方案设计；</w:t>
      </w:r>
    </w:p>
    <w:p w14:paraId="1C0DFC6E">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设备安装调试阶段：施工人员的培训和设备、材料运抵指定地点，设备安装、调试；</w:t>
      </w:r>
    </w:p>
    <w:p w14:paraId="5F99BDAF">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软件开发测试调试阶段：系统UI设计和基础支撑系统开发，应用系统开发，信息资源库开发，系统测试优化，系统联动调试；</w:t>
      </w:r>
    </w:p>
    <w:p w14:paraId="280EC57B">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项目验收阶段：系统培训，系统上线试运行，项目验收。</w:t>
      </w:r>
    </w:p>
    <w:p w14:paraId="59BAD088">
      <w:pPr>
        <w:pStyle w:val="3"/>
        <w:spacing w:before="0" w:after="0" w:line="360" w:lineRule="auto"/>
        <w:rPr>
          <w:rFonts w:hint="eastAsia" w:ascii="宋体" w:hAnsi="宋体" w:eastAsia="宋体"/>
          <w:sz w:val="28"/>
          <w:szCs w:val="28"/>
        </w:rPr>
      </w:pPr>
      <w:bookmarkStart w:id="239" w:name="_Toc175233377"/>
      <w:r>
        <w:rPr>
          <w:rFonts w:hint="eastAsia" w:ascii="宋体" w:hAnsi="宋体" w:eastAsia="宋体"/>
          <w:sz w:val="28"/>
          <w:szCs w:val="28"/>
        </w:rPr>
        <w:t>项目施工进度</w:t>
      </w:r>
      <w:bookmarkEnd w:id="233"/>
      <w:bookmarkEnd w:id="234"/>
      <w:bookmarkEnd w:id="235"/>
      <w:bookmarkEnd w:id="236"/>
      <w:bookmarkEnd w:id="237"/>
      <w:bookmarkEnd w:id="238"/>
      <w:bookmarkEnd w:id="239"/>
    </w:p>
    <w:p w14:paraId="6EDECADE">
      <w:pPr>
        <w:pStyle w:val="6"/>
        <w:spacing w:before="0" w:after="0" w:line="360" w:lineRule="auto"/>
        <w:rPr>
          <w:rFonts w:hint="eastAsia" w:ascii="宋体" w:hAnsi="宋体" w:eastAsia="宋体"/>
          <w:sz w:val="24"/>
        </w:rPr>
      </w:pPr>
      <w:bookmarkStart w:id="240" w:name="_Toc342339436"/>
      <w:bookmarkEnd w:id="240"/>
      <w:bookmarkStart w:id="241" w:name="_Toc342339435"/>
      <w:bookmarkEnd w:id="241"/>
      <w:bookmarkStart w:id="242" w:name="_Toc165896078"/>
      <w:bookmarkStart w:id="243" w:name="_Toc493702842"/>
      <w:bookmarkStart w:id="244" w:name="_Toc332971367"/>
      <w:bookmarkStart w:id="245" w:name="_Toc165909248"/>
      <w:bookmarkStart w:id="246" w:name="_Toc172620065"/>
      <w:bookmarkStart w:id="247" w:name="_Toc15975905"/>
      <w:bookmarkStart w:id="248" w:name="_Toc175233378"/>
      <w:bookmarkStart w:id="249" w:name="_Toc165906795"/>
      <w:r>
        <w:rPr>
          <w:rFonts w:hint="eastAsia" w:ascii="宋体" w:hAnsi="宋体" w:eastAsia="宋体"/>
          <w:sz w:val="24"/>
        </w:rPr>
        <w:t>项目计划工期</w:t>
      </w:r>
      <w:bookmarkEnd w:id="242"/>
      <w:bookmarkEnd w:id="243"/>
      <w:bookmarkEnd w:id="244"/>
      <w:bookmarkEnd w:id="245"/>
      <w:bookmarkEnd w:id="246"/>
      <w:bookmarkEnd w:id="247"/>
      <w:bookmarkEnd w:id="248"/>
      <w:bookmarkEnd w:id="249"/>
    </w:p>
    <w:p w14:paraId="7419A234">
      <w:pPr>
        <w:pStyle w:val="57"/>
      </w:pPr>
      <w:r>
        <w:rPr>
          <w:rFonts w:hint="eastAsia"/>
        </w:rPr>
        <w:t>本项目计划建设周期为3个月。</w:t>
      </w:r>
    </w:p>
    <w:p w14:paraId="167092F7">
      <w:pPr>
        <w:pStyle w:val="57"/>
      </w:pPr>
      <w:r>
        <w:rPr>
          <w:rFonts w:hint="eastAsia"/>
        </w:rPr>
        <w:t>第1个月：项目方案设计、合同签订，施工人员培训和设备、材料运抵指定地点；</w:t>
      </w:r>
    </w:p>
    <w:p w14:paraId="77C2BAC2">
      <w:pPr>
        <w:pStyle w:val="57"/>
      </w:pPr>
      <w:r>
        <w:rPr>
          <w:rFonts w:hint="eastAsia"/>
        </w:rPr>
        <w:t>第2个月：设备安装、调试，基础支撑系统建设、应用系统建设；</w:t>
      </w:r>
    </w:p>
    <w:p w14:paraId="0483AB0D">
      <w:pPr>
        <w:pStyle w:val="57"/>
      </w:pPr>
      <w:r>
        <w:rPr>
          <w:rFonts w:hint="eastAsia"/>
        </w:rPr>
        <w:t>第</w:t>
      </w:r>
      <w:r>
        <w:t>3</w:t>
      </w:r>
      <w:r>
        <w:rPr>
          <w:rFonts w:hint="eastAsia"/>
        </w:rPr>
        <w:t>个月：平台建设、联动调试，人员培训，系统上线试运行，项目验收。</w:t>
      </w:r>
    </w:p>
    <w:p w14:paraId="4A45CDE4">
      <w:pPr>
        <w:pStyle w:val="6"/>
        <w:spacing w:before="0" w:after="0" w:line="360" w:lineRule="auto"/>
        <w:rPr>
          <w:rFonts w:hint="eastAsia" w:ascii="宋体" w:hAnsi="宋体" w:eastAsia="宋体"/>
          <w:sz w:val="24"/>
        </w:rPr>
      </w:pPr>
      <w:bookmarkStart w:id="250" w:name="_Toc332971368"/>
      <w:bookmarkStart w:id="251" w:name="_Toc165906798"/>
      <w:bookmarkStart w:id="252" w:name="_Toc172620068"/>
      <w:bookmarkStart w:id="253" w:name="_Toc15975908"/>
      <w:bookmarkStart w:id="254" w:name="_Toc165909251"/>
      <w:bookmarkStart w:id="255" w:name="_Toc493702845"/>
      <w:bookmarkStart w:id="256" w:name="_Toc165896081"/>
      <w:bookmarkStart w:id="257" w:name="_Toc175233379"/>
      <w:r>
        <w:rPr>
          <w:rFonts w:hint="eastAsia" w:ascii="宋体" w:hAnsi="宋体" w:eastAsia="宋体"/>
          <w:sz w:val="24"/>
        </w:rPr>
        <w:t>施工进度计划</w:t>
      </w:r>
      <w:bookmarkEnd w:id="250"/>
      <w:bookmarkEnd w:id="251"/>
      <w:bookmarkEnd w:id="252"/>
      <w:bookmarkEnd w:id="253"/>
      <w:bookmarkEnd w:id="254"/>
      <w:bookmarkEnd w:id="255"/>
      <w:bookmarkEnd w:id="256"/>
      <w:bookmarkEnd w:id="257"/>
    </w:p>
    <w:tbl>
      <w:tblPr>
        <w:tblStyle w:val="36"/>
        <w:tblW w:w="5000" w:type="pct"/>
        <w:tblInd w:w="0" w:type="dxa"/>
        <w:tblLayout w:type="autofit"/>
        <w:tblCellMar>
          <w:top w:w="0" w:type="dxa"/>
          <w:left w:w="108" w:type="dxa"/>
          <w:bottom w:w="0" w:type="dxa"/>
          <w:right w:w="108" w:type="dxa"/>
        </w:tblCellMar>
      </w:tblPr>
      <w:tblGrid>
        <w:gridCol w:w="3404"/>
        <w:gridCol w:w="426"/>
        <w:gridCol w:w="426"/>
        <w:gridCol w:w="426"/>
        <w:gridCol w:w="426"/>
        <w:gridCol w:w="426"/>
        <w:gridCol w:w="426"/>
        <w:gridCol w:w="426"/>
        <w:gridCol w:w="426"/>
        <w:gridCol w:w="426"/>
        <w:gridCol w:w="426"/>
        <w:gridCol w:w="426"/>
        <w:gridCol w:w="427"/>
      </w:tblGrid>
      <w:tr w14:paraId="37374531">
        <w:tblPrEx>
          <w:tblCellMar>
            <w:top w:w="0" w:type="dxa"/>
            <w:left w:w="108" w:type="dxa"/>
            <w:bottom w:w="0" w:type="dxa"/>
            <w:right w:w="108" w:type="dxa"/>
          </w:tblCellMar>
        </w:tblPrEx>
        <w:trPr>
          <w:trHeight w:val="283" w:hRule="atLeast"/>
        </w:trPr>
        <w:tc>
          <w:tcPr>
            <w:tcW w:w="1999"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14:paraId="72F87832">
            <w:pPr>
              <w:widowControl/>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3001" w:type="pct"/>
            <w:gridSpan w:val="12"/>
            <w:tcBorders>
              <w:top w:val="single" w:color="auto" w:sz="4" w:space="0"/>
              <w:left w:val="nil"/>
              <w:bottom w:val="single" w:color="auto" w:sz="4" w:space="0"/>
              <w:right w:val="single" w:color="auto" w:sz="4" w:space="0"/>
            </w:tcBorders>
            <w:shd w:val="clear" w:color="auto" w:fill="auto"/>
            <w:vAlign w:val="center"/>
          </w:tcPr>
          <w:p w14:paraId="4128043C">
            <w:pPr>
              <w:widowControl/>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本项目建设周期：3个月</w:t>
            </w:r>
          </w:p>
        </w:tc>
      </w:tr>
      <w:tr w14:paraId="10883508">
        <w:tblPrEx>
          <w:tblCellMar>
            <w:top w:w="0" w:type="dxa"/>
            <w:left w:w="108" w:type="dxa"/>
            <w:bottom w:w="0" w:type="dxa"/>
            <w:right w:w="108" w:type="dxa"/>
          </w:tblCellMar>
        </w:tblPrEx>
        <w:trPr>
          <w:trHeight w:val="283" w:hRule="atLeast"/>
        </w:trPr>
        <w:tc>
          <w:tcPr>
            <w:tcW w:w="1999" w:type="pct"/>
            <w:vMerge w:val="continue"/>
            <w:tcBorders>
              <w:top w:val="single" w:color="auto" w:sz="4" w:space="0"/>
              <w:left w:val="single" w:color="auto" w:sz="4" w:space="0"/>
              <w:bottom w:val="single" w:color="auto" w:sz="4" w:space="0"/>
              <w:right w:val="single" w:color="auto" w:sz="4" w:space="0"/>
            </w:tcBorders>
            <w:vAlign w:val="center"/>
          </w:tcPr>
          <w:p w14:paraId="5E664902">
            <w:pPr>
              <w:widowControl/>
              <w:jc w:val="left"/>
              <w:rPr>
                <w:rFonts w:hint="eastAsia" w:ascii="宋体" w:hAnsi="宋体" w:eastAsia="宋体" w:cs="宋体"/>
                <w:color w:val="000000"/>
                <w:kern w:val="0"/>
                <w:sz w:val="21"/>
                <w:szCs w:val="21"/>
              </w:rPr>
            </w:pPr>
          </w:p>
        </w:tc>
        <w:tc>
          <w:tcPr>
            <w:tcW w:w="1000" w:type="pct"/>
            <w:gridSpan w:val="4"/>
            <w:tcBorders>
              <w:top w:val="single" w:color="auto" w:sz="4" w:space="0"/>
              <w:left w:val="nil"/>
              <w:bottom w:val="single" w:color="auto" w:sz="4" w:space="0"/>
              <w:right w:val="single" w:color="auto" w:sz="4" w:space="0"/>
            </w:tcBorders>
            <w:shd w:val="clear" w:color="auto" w:fill="auto"/>
            <w:vAlign w:val="center"/>
          </w:tcPr>
          <w:p w14:paraId="150BB443">
            <w:pPr>
              <w:widowControl/>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第1个月</w:t>
            </w:r>
          </w:p>
        </w:tc>
        <w:tc>
          <w:tcPr>
            <w:tcW w:w="1000" w:type="pct"/>
            <w:gridSpan w:val="4"/>
            <w:tcBorders>
              <w:top w:val="single" w:color="auto" w:sz="4" w:space="0"/>
              <w:left w:val="nil"/>
              <w:bottom w:val="single" w:color="auto" w:sz="4" w:space="0"/>
              <w:right w:val="single" w:color="auto" w:sz="4" w:space="0"/>
            </w:tcBorders>
            <w:shd w:val="clear" w:color="auto" w:fill="auto"/>
            <w:vAlign w:val="center"/>
          </w:tcPr>
          <w:p w14:paraId="7D0F1C58">
            <w:pPr>
              <w:widowControl/>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第2个月</w:t>
            </w:r>
          </w:p>
        </w:tc>
        <w:tc>
          <w:tcPr>
            <w:tcW w:w="1000" w:type="pct"/>
            <w:gridSpan w:val="4"/>
            <w:tcBorders>
              <w:top w:val="single" w:color="auto" w:sz="4" w:space="0"/>
              <w:left w:val="nil"/>
              <w:bottom w:val="single" w:color="auto" w:sz="4" w:space="0"/>
              <w:right w:val="single" w:color="auto" w:sz="4" w:space="0"/>
            </w:tcBorders>
            <w:shd w:val="clear" w:color="auto" w:fill="auto"/>
            <w:vAlign w:val="center"/>
          </w:tcPr>
          <w:p w14:paraId="47BF4A0A">
            <w:pPr>
              <w:widowControl/>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第3个月</w:t>
            </w:r>
          </w:p>
        </w:tc>
      </w:tr>
      <w:tr w14:paraId="5F60055A">
        <w:tblPrEx>
          <w:tblCellMar>
            <w:top w:w="0" w:type="dxa"/>
            <w:left w:w="108" w:type="dxa"/>
            <w:bottom w:w="0" w:type="dxa"/>
            <w:right w:w="108" w:type="dxa"/>
          </w:tblCellMar>
        </w:tblPrEx>
        <w:trPr>
          <w:trHeight w:val="978" w:hRule="atLeast"/>
        </w:trPr>
        <w:tc>
          <w:tcPr>
            <w:tcW w:w="1999" w:type="pct"/>
            <w:vMerge w:val="continue"/>
            <w:tcBorders>
              <w:top w:val="single" w:color="auto" w:sz="4" w:space="0"/>
              <w:left w:val="single" w:color="auto" w:sz="4" w:space="0"/>
              <w:bottom w:val="single" w:color="auto" w:sz="4" w:space="0"/>
              <w:right w:val="single" w:color="auto" w:sz="4" w:space="0"/>
            </w:tcBorders>
            <w:vAlign w:val="center"/>
          </w:tcPr>
          <w:p w14:paraId="54672DC0">
            <w:pPr>
              <w:widowControl/>
              <w:jc w:val="left"/>
              <w:rPr>
                <w:rFonts w:hint="eastAsia" w:ascii="宋体" w:hAnsi="宋体" w:eastAsia="宋体" w:cs="宋体"/>
                <w:color w:val="000000"/>
                <w:kern w:val="0"/>
                <w:sz w:val="21"/>
                <w:szCs w:val="21"/>
              </w:rPr>
            </w:pPr>
          </w:p>
        </w:tc>
        <w:tc>
          <w:tcPr>
            <w:tcW w:w="250" w:type="pct"/>
            <w:tcBorders>
              <w:top w:val="nil"/>
              <w:left w:val="nil"/>
              <w:bottom w:val="single" w:color="auto" w:sz="4" w:space="0"/>
              <w:right w:val="single" w:color="auto" w:sz="4" w:space="0"/>
            </w:tcBorders>
            <w:shd w:val="clear" w:color="auto" w:fill="auto"/>
            <w:vAlign w:val="center"/>
          </w:tcPr>
          <w:p w14:paraId="15530149">
            <w:pPr>
              <w:widowControl/>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第1周</w:t>
            </w:r>
          </w:p>
        </w:tc>
        <w:tc>
          <w:tcPr>
            <w:tcW w:w="250" w:type="pct"/>
            <w:tcBorders>
              <w:top w:val="nil"/>
              <w:left w:val="nil"/>
              <w:bottom w:val="single" w:color="auto" w:sz="4" w:space="0"/>
              <w:right w:val="single" w:color="auto" w:sz="4" w:space="0"/>
            </w:tcBorders>
            <w:shd w:val="clear" w:color="auto" w:fill="auto"/>
            <w:vAlign w:val="center"/>
          </w:tcPr>
          <w:p w14:paraId="2C64FB87">
            <w:pPr>
              <w:widowControl/>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第2周</w:t>
            </w:r>
          </w:p>
        </w:tc>
        <w:tc>
          <w:tcPr>
            <w:tcW w:w="250" w:type="pct"/>
            <w:tcBorders>
              <w:top w:val="nil"/>
              <w:left w:val="nil"/>
              <w:bottom w:val="single" w:color="auto" w:sz="4" w:space="0"/>
              <w:right w:val="single" w:color="auto" w:sz="4" w:space="0"/>
            </w:tcBorders>
            <w:shd w:val="clear" w:color="auto" w:fill="auto"/>
            <w:vAlign w:val="center"/>
          </w:tcPr>
          <w:p w14:paraId="391231C0">
            <w:pPr>
              <w:widowControl/>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第3周</w:t>
            </w:r>
          </w:p>
        </w:tc>
        <w:tc>
          <w:tcPr>
            <w:tcW w:w="250" w:type="pct"/>
            <w:tcBorders>
              <w:top w:val="nil"/>
              <w:left w:val="nil"/>
              <w:bottom w:val="single" w:color="auto" w:sz="4" w:space="0"/>
              <w:right w:val="single" w:color="auto" w:sz="4" w:space="0"/>
            </w:tcBorders>
            <w:shd w:val="clear" w:color="auto" w:fill="auto"/>
            <w:vAlign w:val="center"/>
          </w:tcPr>
          <w:p w14:paraId="0A0B6613">
            <w:pPr>
              <w:widowControl/>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第4周</w:t>
            </w:r>
          </w:p>
        </w:tc>
        <w:tc>
          <w:tcPr>
            <w:tcW w:w="250" w:type="pct"/>
            <w:tcBorders>
              <w:top w:val="nil"/>
              <w:left w:val="nil"/>
              <w:bottom w:val="single" w:color="auto" w:sz="4" w:space="0"/>
              <w:right w:val="single" w:color="auto" w:sz="4" w:space="0"/>
            </w:tcBorders>
            <w:shd w:val="clear" w:color="auto" w:fill="auto"/>
            <w:vAlign w:val="center"/>
          </w:tcPr>
          <w:p w14:paraId="725799C7">
            <w:pPr>
              <w:widowControl/>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第5周</w:t>
            </w:r>
          </w:p>
        </w:tc>
        <w:tc>
          <w:tcPr>
            <w:tcW w:w="250" w:type="pct"/>
            <w:tcBorders>
              <w:top w:val="nil"/>
              <w:left w:val="nil"/>
              <w:bottom w:val="single" w:color="auto" w:sz="4" w:space="0"/>
              <w:right w:val="single" w:color="auto" w:sz="4" w:space="0"/>
            </w:tcBorders>
            <w:shd w:val="clear" w:color="auto" w:fill="auto"/>
            <w:vAlign w:val="center"/>
          </w:tcPr>
          <w:p w14:paraId="25B34DF2">
            <w:pPr>
              <w:widowControl/>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第6周</w:t>
            </w:r>
          </w:p>
        </w:tc>
        <w:tc>
          <w:tcPr>
            <w:tcW w:w="250" w:type="pct"/>
            <w:tcBorders>
              <w:top w:val="nil"/>
              <w:left w:val="nil"/>
              <w:bottom w:val="single" w:color="auto" w:sz="4" w:space="0"/>
              <w:right w:val="single" w:color="auto" w:sz="4" w:space="0"/>
            </w:tcBorders>
            <w:shd w:val="clear" w:color="auto" w:fill="auto"/>
            <w:vAlign w:val="center"/>
          </w:tcPr>
          <w:p w14:paraId="6AC2110E">
            <w:pPr>
              <w:widowControl/>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第7周</w:t>
            </w:r>
          </w:p>
        </w:tc>
        <w:tc>
          <w:tcPr>
            <w:tcW w:w="250" w:type="pct"/>
            <w:tcBorders>
              <w:top w:val="nil"/>
              <w:left w:val="nil"/>
              <w:bottom w:val="single" w:color="auto" w:sz="4" w:space="0"/>
              <w:right w:val="single" w:color="auto" w:sz="4" w:space="0"/>
            </w:tcBorders>
            <w:shd w:val="clear" w:color="auto" w:fill="auto"/>
            <w:vAlign w:val="center"/>
          </w:tcPr>
          <w:p w14:paraId="3215459D">
            <w:pPr>
              <w:widowControl/>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第8周</w:t>
            </w:r>
          </w:p>
        </w:tc>
        <w:tc>
          <w:tcPr>
            <w:tcW w:w="250" w:type="pct"/>
            <w:tcBorders>
              <w:top w:val="nil"/>
              <w:left w:val="nil"/>
              <w:bottom w:val="single" w:color="auto" w:sz="4" w:space="0"/>
              <w:right w:val="single" w:color="auto" w:sz="4" w:space="0"/>
            </w:tcBorders>
            <w:shd w:val="clear" w:color="auto" w:fill="auto"/>
            <w:vAlign w:val="center"/>
          </w:tcPr>
          <w:p w14:paraId="751C77B7">
            <w:pPr>
              <w:widowControl/>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第9周</w:t>
            </w:r>
          </w:p>
        </w:tc>
        <w:tc>
          <w:tcPr>
            <w:tcW w:w="250" w:type="pct"/>
            <w:tcBorders>
              <w:top w:val="nil"/>
              <w:left w:val="nil"/>
              <w:bottom w:val="single" w:color="auto" w:sz="4" w:space="0"/>
              <w:right w:val="single" w:color="auto" w:sz="4" w:space="0"/>
            </w:tcBorders>
            <w:shd w:val="clear" w:color="auto" w:fill="auto"/>
            <w:vAlign w:val="center"/>
          </w:tcPr>
          <w:p w14:paraId="6029A5F5">
            <w:pPr>
              <w:widowControl/>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第10周</w:t>
            </w:r>
          </w:p>
        </w:tc>
        <w:tc>
          <w:tcPr>
            <w:tcW w:w="250" w:type="pct"/>
            <w:tcBorders>
              <w:top w:val="nil"/>
              <w:left w:val="nil"/>
              <w:bottom w:val="single" w:color="auto" w:sz="4" w:space="0"/>
              <w:right w:val="single" w:color="auto" w:sz="4" w:space="0"/>
            </w:tcBorders>
            <w:shd w:val="clear" w:color="auto" w:fill="auto"/>
            <w:vAlign w:val="center"/>
          </w:tcPr>
          <w:p w14:paraId="38D09939">
            <w:pPr>
              <w:widowControl/>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第11周</w:t>
            </w:r>
          </w:p>
        </w:tc>
        <w:tc>
          <w:tcPr>
            <w:tcW w:w="250" w:type="pct"/>
            <w:tcBorders>
              <w:top w:val="nil"/>
              <w:left w:val="nil"/>
              <w:bottom w:val="single" w:color="auto" w:sz="4" w:space="0"/>
              <w:right w:val="single" w:color="auto" w:sz="4" w:space="0"/>
            </w:tcBorders>
            <w:shd w:val="clear" w:color="auto" w:fill="auto"/>
            <w:vAlign w:val="center"/>
          </w:tcPr>
          <w:p w14:paraId="3592E4CB">
            <w:pPr>
              <w:widowControl/>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第12周</w:t>
            </w:r>
          </w:p>
        </w:tc>
      </w:tr>
      <w:tr w14:paraId="307B169C">
        <w:tblPrEx>
          <w:tblCellMar>
            <w:top w:w="0" w:type="dxa"/>
            <w:left w:w="108" w:type="dxa"/>
            <w:bottom w:w="0" w:type="dxa"/>
            <w:right w:w="108" w:type="dxa"/>
          </w:tblCellMar>
        </w:tblPrEx>
        <w:trPr>
          <w:trHeight w:val="491" w:hRule="atLeast"/>
        </w:trPr>
        <w:tc>
          <w:tcPr>
            <w:tcW w:w="1999" w:type="pct"/>
            <w:tcBorders>
              <w:top w:val="nil"/>
              <w:left w:val="single" w:color="auto" w:sz="4" w:space="0"/>
              <w:bottom w:val="single" w:color="auto" w:sz="4" w:space="0"/>
              <w:right w:val="single" w:color="auto" w:sz="4" w:space="0"/>
            </w:tcBorders>
            <w:shd w:val="clear" w:color="auto" w:fill="auto"/>
            <w:vAlign w:val="center"/>
          </w:tcPr>
          <w:p w14:paraId="01BA4416">
            <w:pPr>
              <w:widowControl/>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项目方案设计、合同签订</w:t>
            </w:r>
          </w:p>
        </w:tc>
        <w:tc>
          <w:tcPr>
            <w:tcW w:w="250" w:type="pct"/>
            <w:tcBorders>
              <w:top w:val="nil"/>
              <w:left w:val="nil"/>
              <w:bottom w:val="single" w:color="auto" w:sz="4" w:space="0"/>
              <w:right w:val="single" w:color="auto" w:sz="4" w:space="0"/>
            </w:tcBorders>
            <w:shd w:val="clear" w:color="000000" w:fill="92D050"/>
            <w:vAlign w:val="center"/>
          </w:tcPr>
          <w:p w14:paraId="61D2B32B">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000000" w:fill="92D050"/>
            <w:vAlign w:val="center"/>
          </w:tcPr>
          <w:p w14:paraId="6B3054C8">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38317D89">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5DA9B46E">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527BBAA0">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6FB35DB8">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4F1F54A1">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7FFE76D5">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6021BB1E">
            <w:pPr>
              <w:widowControl/>
              <w:rPr>
                <w:rFonts w:hint="eastAsia" w:ascii="宋体" w:hAnsi="宋体" w:eastAsia="宋体" w:cs="宋体"/>
                <w:color w:val="FF0000"/>
                <w:kern w:val="0"/>
                <w:sz w:val="21"/>
                <w:szCs w:val="21"/>
              </w:rPr>
            </w:pPr>
            <w:r>
              <w:rPr>
                <w:rFonts w:hint="eastAsia" w:ascii="宋体" w:hAnsi="宋体" w:eastAsia="宋体" w:cs="宋体"/>
                <w:color w:val="FF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091463EA">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6E49BEB4">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1E25F029">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r>
      <w:tr w14:paraId="4E531526">
        <w:tblPrEx>
          <w:tblCellMar>
            <w:top w:w="0" w:type="dxa"/>
            <w:left w:w="108" w:type="dxa"/>
            <w:bottom w:w="0" w:type="dxa"/>
            <w:right w:w="108" w:type="dxa"/>
          </w:tblCellMar>
        </w:tblPrEx>
        <w:trPr>
          <w:trHeight w:val="491" w:hRule="atLeast"/>
        </w:trPr>
        <w:tc>
          <w:tcPr>
            <w:tcW w:w="1999" w:type="pct"/>
            <w:tcBorders>
              <w:top w:val="nil"/>
              <w:left w:val="single" w:color="auto" w:sz="4" w:space="0"/>
              <w:bottom w:val="single" w:color="auto" w:sz="4" w:space="0"/>
              <w:right w:val="single" w:color="auto" w:sz="4" w:space="0"/>
            </w:tcBorders>
            <w:shd w:val="clear" w:color="auto" w:fill="auto"/>
            <w:vAlign w:val="center"/>
          </w:tcPr>
          <w:p w14:paraId="7D1F1D9C">
            <w:pPr>
              <w:widowControl/>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施工人员培训和设备、材料运抵指定地点</w:t>
            </w:r>
          </w:p>
        </w:tc>
        <w:tc>
          <w:tcPr>
            <w:tcW w:w="250" w:type="pct"/>
            <w:tcBorders>
              <w:top w:val="nil"/>
              <w:left w:val="nil"/>
              <w:bottom w:val="single" w:color="auto" w:sz="4" w:space="0"/>
              <w:right w:val="single" w:color="auto" w:sz="4" w:space="0"/>
            </w:tcBorders>
            <w:shd w:val="clear" w:color="auto" w:fill="auto"/>
            <w:vAlign w:val="center"/>
          </w:tcPr>
          <w:p w14:paraId="2DBFD9B1">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340F240F">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000000" w:fill="92D050"/>
            <w:vAlign w:val="center"/>
          </w:tcPr>
          <w:p w14:paraId="43E7153D">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000000" w:fill="92D050"/>
            <w:vAlign w:val="center"/>
          </w:tcPr>
          <w:p w14:paraId="13268B12">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48B1F713">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6E605CF4">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01DB00AB">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49B555B2">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4CA562A2">
            <w:pPr>
              <w:widowControl/>
              <w:rPr>
                <w:rFonts w:hint="eastAsia" w:ascii="宋体" w:hAnsi="宋体" w:eastAsia="宋体" w:cs="宋体"/>
                <w:color w:val="FF0000"/>
                <w:kern w:val="0"/>
                <w:sz w:val="21"/>
                <w:szCs w:val="21"/>
              </w:rPr>
            </w:pPr>
            <w:r>
              <w:rPr>
                <w:rFonts w:hint="eastAsia" w:ascii="宋体" w:hAnsi="宋体" w:eastAsia="宋体" w:cs="宋体"/>
                <w:color w:val="FF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7FC5D0F1">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62EDA390">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51A8A873">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r>
      <w:tr w14:paraId="398A422D">
        <w:tblPrEx>
          <w:tblCellMar>
            <w:top w:w="0" w:type="dxa"/>
            <w:left w:w="108" w:type="dxa"/>
            <w:bottom w:w="0" w:type="dxa"/>
            <w:right w:w="108" w:type="dxa"/>
          </w:tblCellMar>
        </w:tblPrEx>
        <w:trPr>
          <w:trHeight w:val="491" w:hRule="atLeast"/>
        </w:trPr>
        <w:tc>
          <w:tcPr>
            <w:tcW w:w="1999" w:type="pct"/>
            <w:tcBorders>
              <w:top w:val="nil"/>
              <w:left w:val="single" w:color="auto" w:sz="4" w:space="0"/>
              <w:bottom w:val="single" w:color="auto" w:sz="4" w:space="0"/>
              <w:right w:val="single" w:color="auto" w:sz="4" w:space="0"/>
            </w:tcBorders>
            <w:shd w:val="clear" w:color="auto" w:fill="auto"/>
            <w:vAlign w:val="center"/>
          </w:tcPr>
          <w:p w14:paraId="645F36AF">
            <w:pPr>
              <w:widowControl/>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设备安装、调试</w:t>
            </w:r>
          </w:p>
        </w:tc>
        <w:tc>
          <w:tcPr>
            <w:tcW w:w="250" w:type="pct"/>
            <w:tcBorders>
              <w:top w:val="nil"/>
              <w:left w:val="nil"/>
              <w:bottom w:val="single" w:color="auto" w:sz="4" w:space="0"/>
              <w:right w:val="single" w:color="auto" w:sz="4" w:space="0"/>
            </w:tcBorders>
            <w:shd w:val="clear" w:color="auto" w:fill="auto"/>
            <w:vAlign w:val="center"/>
          </w:tcPr>
          <w:p w14:paraId="33C1B649">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297AD8C6">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68DAFDFE">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344EDFDA">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000000" w:fill="92D050"/>
            <w:vAlign w:val="center"/>
          </w:tcPr>
          <w:p w14:paraId="50EE7B39">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000000" w:fill="92D050"/>
            <w:vAlign w:val="center"/>
          </w:tcPr>
          <w:p w14:paraId="67FA090E">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000000" w:fill="92D050"/>
            <w:vAlign w:val="center"/>
          </w:tcPr>
          <w:p w14:paraId="7E3A45A2">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000000" w:fill="92D050"/>
            <w:vAlign w:val="center"/>
          </w:tcPr>
          <w:p w14:paraId="1C8E591B">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1BFD2106">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58E8B034">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71BCB09A">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6ECFEB7E">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r>
      <w:tr w14:paraId="7BC143C5">
        <w:tblPrEx>
          <w:tblCellMar>
            <w:top w:w="0" w:type="dxa"/>
            <w:left w:w="108" w:type="dxa"/>
            <w:bottom w:w="0" w:type="dxa"/>
            <w:right w:w="108" w:type="dxa"/>
          </w:tblCellMar>
        </w:tblPrEx>
        <w:trPr>
          <w:trHeight w:val="491" w:hRule="atLeast"/>
        </w:trPr>
        <w:tc>
          <w:tcPr>
            <w:tcW w:w="1999" w:type="pct"/>
            <w:tcBorders>
              <w:top w:val="nil"/>
              <w:left w:val="single" w:color="auto" w:sz="4" w:space="0"/>
              <w:bottom w:val="single" w:color="auto" w:sz="4" w:space="0"/>
              <w:right w:val="single" w:color="auto" w:sz="4" w:space="0"/>
            </w:tcBorders>
            <w:shd w:val="clear" w:color="auto" w:fill="auto"/>
            <w:vAlign w:val="center"/>
          </w:tcPr>
          <w:p w14:paraId="08198680">
            <w:pPr>
              <w:widowControl/>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基础支撑系统建设、应用系统建设</w:t>
            </w:r>
          </w:p>
        </w:tc>
        <w:tc>
          <w:tcPr>
            <w:tcW w:w="250" w:type="pct"/>
            <w:tcBorders>
              <w:top w:val="nil"/>
              <w:left w:val="nil"/>
              <w:bottom w:val="single" w:color="auto" w:sz="4" w:space="0"/>
              <w:right w:val="single" w:color="auto" w:sz="4" w:space="0"/>
            </w:tcBorders>
            <w:shd w:val="clear" w:color="auto" w:fill="auto"/>
            <w:vAlign w:val="center"/>
          </w:tcPr>
          <w:p w14:paraId="5649A148">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61BD3D9E">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33F1B6E8">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5B02BA52">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000000" w:fill="92D050"/>
            <w:vAlign w:val="center"/>
          </w:tcPr>
          <w:p w14:paraId="12B2C60A">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000000" w:fill="92D050"/>
            <w:vAlign w:val="center"/>
          </w:tcPr>
          <w:p w14:paraId="6F6436D6">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000000" w:fill="92D050"/>
            <w:vAlign w:val="center"/>
          </w:tcPr>
          <w:p w14:paraId="72989B56">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000000" w:fill="92D050"/>
            <w:vAlign w:val="center"/>
          </w:tcPr>
          <w:p w14:paraId="638C2C26">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13869C07">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2E1C7370">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148560B0">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5BDB00F9">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r>
      <w:tr w14:paraId="7E7418CE">
        <w:tblPrEx>
          <w:tblCellMar>
            <w:top w:w="0" w:type="dxa"/>
            <w:left w:w="108" w:type="dxa"/>
            <w:bottom w:w="0" w:type="dxa"/>
            <w:right w:w="108" w:type="dxa"/>
          </w:tblCellMar>
        </w:tblPrEx>
        <w:trPr>
          <w:trHeight w:val="491" w:hRule="atLeast"/>
        </w:trPr>
        <w:tc>
          <w:tcPr>
            <w:tcW w:w="1999" w:type="pct"/>
            <w:tcBorders>
              <w:top w:val="nil"/>
              <w:left w:val="single" w:color="auto" w:sz="4" w:space="0"/>
              <w:bottom w:val="single" w:color="auto" w:sz="4" w:space="0"/>
              <w:right w:val="single" w:color="auto" w:sz="4" w:space="0"/>
            </w:tcBorders>
            <w:shd w:val="clear" w:color="auto" w:fill="auto"/>
            <w:vAlign w:val="center"/>
          </w:tcPr>
          <w:p w14:paraId="4051CB50">
            <w:pPr>
              <w:widowControl/>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平台建设、联动调试</w:t>
            </w:r>
          </w:p>
        </w:tc>
        <w:tc>
          <w:tcPr>
            <w:tcW w:w="250" w:type="pct"/>
            <w:tcBorders>
              <w:top w:val="nil"/>
              <w:left w:val="nil"/>
              <w:bottom w:val="single" w:color="auto" w:sz="4" w:space="0"/>
              <w:right w:val="single" w:color="auto" w:sz="4" w:space="0"/>
            </w:tcBorders>
            <w:shd w:val="clear" w:color="auto" w:fill="auto"/>
            <w:vAlign w:val="center"/>
          </w:tcPr>
          <w:p w14:paraId="1CF18186">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7802B3C3">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1AB747FD">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04516A0A">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425DACCB">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1EBAB334">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7B7981FE">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7F7CDEA3">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000000" w:fill="92D050"/>
            <w:vAlign w:val="center"/>
          </w:tcPr>
          <w:p w14:paraId="74760CAC">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000000" w:fill="92D050"/>
            <w:vAlign w:val="center"/>
          </w:tcPr>
          <w:p w14:paraId="6FD10D41">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000000" w:fill="92D050"/>
            <w:vAlign w:val="center"/>
          </w:tcPr>
          <w:p w14:paraId="41F670AC">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264D4C47">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r>
      <w:tr w14:paraId="43897A55">
        <w:tblPrEx>
          <w:tblCellMar>
            <w:top w:w="0" w:type="dxa"/>
            <w:left w:w="108" w:type="dxa"/>
            <w:bottom w:w="0" w:type="dxa"/>
            <w:right w:w="108" w:type="dxa"/>
          </w:tblCellMar>
        </w:tblPrEx>
        <w:trPr>
          <w:trHeight w:val="491" w:hRule="atLeast"/>
        </w:trPr>
        <w:tc>
          <w:tcPr>
            <w:tcW w:w="1999" w:type="pct"/>
            <w:tcBorders>
              <w:top w:val="nil"/>
              <w:left w:val="single" w:color="auto" w:sz="4" w:space="0"/>
              <w:bottom w:val="single" w:color="auto" w:sz="4" w:space="0"/>
              <w:right w:val="single" w:color="auto" w:sz="4" w:space="0"/>
            </w:tcBorders>
            <w:shd w:val="clear" w:color="auto" w:fill="auto"/>
            <w:vAlign w:val="center"/>
          </w:tcPr>
          <w:p w14:paraId="46E88EF2">
            <w:pPr>
              <w:widowControl/>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人员培训</w:t>
            </w:r>
          </w:p>
        </w:tc>
        <w:tc>
          <w:tcPr>
            <w:tcW w:w="250" w:type="pct"/>
            <w:tcBorders>
              <w:top w:val="nil"/>
              <w:left w:val="nil"/>
              <w:bottom w:val="single" w:color="auto" w:sz="4" w:space="0"/>
              <w:right w:val="single" w:color="auto" w:sz="4" w:space="0"/>
            </w:tcBorders>
            <w:shd w:val="clear" w:color="auto" w:fill="auto"/>
            <w:vAlign w:val="center"/>
          </w:tcPr>
          <w:p w14:paraId="62C0BA58">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16B9B968">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6E0A92C9">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26AE1837">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7FE3BEBB">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5F191A72">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611873D5">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0220AC37">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3A7B7ACB">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2E229C29">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000000" w:fill="92D050"/>
            <w:vAlign w:val="center"/>
          </w:tcPr>
          <w:p w14:paraId="00CD9648">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6A0B0346">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r>
      <w:tr w14:paraId="5F2DE70E">
        <w:tblPrEx>
          <w:tblCellMar>
            <w:top w:w="0" w:type="dxa"/>
            <w:left w:w="108" w:type="dxa"/>
            <w:bottom w:w="0" w:type="dxa"/>
            <w:right w:w="108" w:type="dxa"/>
          </w:tblCellMar>
        </w:tblPrEx>
        <w:trPr>
          <w:trHeight w:val="491" w:hRule="atLeast"/>
        </w:trPr>
        <w:tc>
          <w:tcPr>
            <w:tcW w:w="1999" w:type="pct"/>
            <w:tcBorders>
              <w:top w:val="nil"/>
              <w:left w:val="single" w:color="auto" w:sz="4" w:space="0"/>
              <w:bottom w:val="single" w:color="auto" w:sz="4" w:space="0"/>
              <w:right w:val="single" w:color="auto" w:sz="4" w:space="0"/>
            </w:tcBorders>
            <w:shd w:val="clear" w:color="auto" w:fill="auto"/>
            <w:vAlign w:val="center"/>
          </w:tcPr>
          <w:p w14:paraId="0C26F562">
            <w:pPr>
              <w:widowControl/>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系统上线试运行</w:t>
            </w:r>
          </w:p>
        </w:tc>
        <w:tc>
          <w:tcPr>
            <w:tcW w:w="250" w:type="pct"/>
            <w:tcBorders>
              <w:top w:val="nil"/>
              <w:left w:val="nil"/>
              <w:bottom w:val="single" w:color="auto" w:sz="4" w:space="0"/>
              <w:right w:val="single" w:color="auto" w:sz="4" w:space="0"/>
            </w:tcBorders>
            <w:shd w:val="clear" w:color="auto" w:fill="auto"/>
            <w:vAlign w:val="center"/>
          </w:tcPr>
          <w:p w14:paraId="4DA076A9">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1FF504DE">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15C87977">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46E88247">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60DAB289">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41001C51">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3C4B3481">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2C2A13FA">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654D32DD">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5DA52857">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000000" w:fill="92D050"/>
            <w:vAlign w:val="center"/>
          </w:tcPr>
          <w:p w14:paraId="24098C91">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000000" w:fill="92D050"/>
            <w:vAlign w:val="center"/>
          </w:tcPr>
          <w:p w14:paraId="1D624CED">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r>
      <w:tr w14:paraId="1C4FBDAF">
        <w:tblPrEx>
          <w:tblCellMar>
            <w:top w:w="0" w:type="dxa"/>
            <w:left w:w="108" w:type="dxa"/>
            <w:bottom w:w="0" w:type="dxa"/>
            <w:right w:w="108" w:type="dxa"/>
          </w:tblCellMar>
        </w:tblPrEx>
        <w:trPr>
          <w:trHeight w:val="491" w:hRule="atLeast"/>
        </w:trPr>
        <w:tc>
          <w:tcPr>
            <w:tcW w:w="1999" w:type="pct"/>
            <w:tcBorders>
              <w:top w:val="nil"/>
              <w:left w:val="single" w:color="auto" w:sz="4" w:space="0"/>
              <w:bottom w:val="single" w:color="auto" w:sz="4" w:space="0"/>
              <w:right w:val="single" w:color="auto" w:sz="4" w:space="0"/>
            </w:tcBorders>
            <w:shd w:val="clear" w:color="auto" w:fill="auto"/>
            <w:vAlign w:val="center"/>
          </w:tcPr>
          <w:p w14:paraId="7F05DE72">
            <w:pPr>
              <w:widowControl/>
              <w:jc w:val="left"/>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项目验收</w:t>
            </w:r>
          </w:p>
        </w:tc>
        <w:tc>
          <w:tcPr>
            <w:tcW w:w="250" w:type="pct"/>
            <w:tcBorders>
              <w:top w:val="nil"/>
              <w:left w:val="nil"/>
              <w:bottom w:val="single" w:color="auto" w:sz="4" w:space="0"/>
              <w:right w:val="single" w:color="auto" w:sz="4" w:space="0"/>
            </w:tcBorders>
            <w:shd w:val="clear" w:color="auto" w:fill="auto"/>
            <w:vAlign w:val="center"/>
          </w:tcPr>
          <w:p w14:paraId="1F33BDDE">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1F07AA45">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041BCA86">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393525A9">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46F299F6">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64095CD7">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563B8237">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43FF5737">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35C1ADA6">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622F9CE2">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auto" w:fill="auto"/>
            <w:vAlign w:val="center"/>
          </w:tcPr>
          <w:p w14:paraId="57A2734D">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c>
          <w:tcPr>
            <w:tcW w:w="250" w:type="pct"/>
            <w:tcBorders>
              <w:top w:val="nil"/>
              <w:left w:val="nil"/>
              <w:bottom w:val="single" w:color="auto" w:sz="4" w:space="0"/>
              <w:right w:val="single" w:color="auto" w:sz="4" w:space="0"/>
            </w:tcBorders>
            <w:shd w:val="clear" w:color="000000" w:fill="92D050"/>
            <w:vAlign w:val="center"/>
          </w:tcPr>
          <w:p w14:paraId="0E2E2BB7">
            <w:pPr>
              <w:widowControl/>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　</w:t>
            </w:r>
          </w:p>
        </w:tc>
      </w:tr>
    </w:tbl>
    <w:p w14:paraId="3A2CB0E0">
      <w:pPr>
        <w:widowControl/>
        <w:spacing w:line="360" w:lineRule="auto"/>
        <w:ind w:firstLine="480" w:firstLineChars="200"/>
        <w:jc w:val="left"/>
        <w:rPr>
          <w:rFonts w:hint="eastAsia" w:asciiTheme="minorEastAsia" w:hAnsiTheme="minorEastAsia" w:eastAsiaTheme="minorEastAsia"/>
          <w:sz w:val="24"/>
        </w:rPr>
      </w:pPr>
      <w:r>
        <w:rPr>
          <w:rFonts w:asciiTheme="minorEastAsia" w:hAnsiTheme="minorEastAsia" w:eastAsiaTheme="minorEastAsia"/>
          <w:sz w:val="24"/>
        </w:rPr>
        <w:br w:type="page"/>
      </w:r>
    </w:p>
    <w:p w14:paraId="5F8A5418">
      <w:pPr>
        <w:pStyle w:val="3"/>
        <w:spacing w:before="0" w:after="0" w:line="360" w:lineRule="auto"/>
        <w:rPr>
          <w:rFonts w:hint="eastAsia" w:ascii="宋体" w:hAnsi="宋体" w:eastAsia="宋体"/>
          <w:sz w:val="28"/>
          <w:szCs w:val="28"/>
        </w:rPr>
      </w:pPr>
      <w:bookmarkStart w:id="258" w:name="_Toc175233380"/>
      <w:r>
        <w:rPr>
          <w:rFonts w:hint="eastAsia" w:ascii="宋体" w:hAnsi="宋体" w:eastAsia="宋体"/>
          <w:sz w:val="28"/>
          <w:szCs w:val="28"/>
        </w:rPr>
        <w:t>施工进度控制</w:t>
      </w:r>
      <w:bookmarkEnd w:id="258"/>
    </w:p>
    <w:p w14:paraId="58C90AF0">
      <w:pPr>
        <w:pStyle w:val="44"/>
        <w:numPr>
          <w:ilvl w:val="1"/>
          <w:numId w:val="32"/>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组织措施：建立进度控制的组织系统，落实各层次的进度控制人员的任务和责任，确定进度目标，建立控制目标体系；确定进度控制工作制度。</w:t>
      </w:r>
    </w:p>
    <w:p w14:paraId="33B57A72">
      <w:pPr>
        <w:pStyle w:val="44"/>
        <w:numPr>
          <w:ilvl w:val="1"/>
          <w:numId w:val="32"/>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技术措施：采取加快施工进度的技术方法措施。如施工方案优化、分析技术的先进性和经济的合理性，分析为实现进度目标，改变施工技术、方法和施工机械的可能性。</w:t>
      </w:r>
    </w:p>
    <w:p w14:paraId="54273869">
      <w:pPr>
        <w:pStyle w:val="44"/>
        <w:numPr>
          <w:ilvl w:val="1"/>
          <w:numId w:val="32"/>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合同措施：对施工合同的工期、索赔与有关进度计划目标相协调措施。</w:t>
      </w:r>
    </w:p>
    <w:p w14:paraId="7FABFB8B">
      <w:pPr>
        <w:pStyle w:val="44"/>
        <w:numPr>
          <w:ilvl w:val="1"/>
          <w:numId w:val="32"/>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经济措施：实现进度计划的资金措施，如资金需求计划、资金供给和激励措施</w:t>
      </w:r>
    </w:p>
    <w:p w14:paraId="03DDF6D1">
      <w:pPr>
        <w:pStyle w:val="44"/>
        <w:numPr>
          <w:ilvl w:val="1"/>
          <w:numId w:val="32"/>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信息措施：收集施工实际进度的有关资料，进行整理统计与计划进度比较。</w:t>
      </w:r>
    </w:p>
    <w:p w14:paraId="75525204">
      <w:pPr>
        <w:pStyle w:val="3"/>
        <w:spacing w:before="0" w:after="0" w:line="360" w:lineRule="auto"/>
        <w:rPr>
          <w:rFonts w:hint="eastAsia" w:ascii="宋体" w:hAnsi="宋体" w:eastAsia="宋体"/>
          <w:sz w:val="28"/>
          <w:szCs w:val="28"/>
        </w:rPr>
      </w:pPr>
      <w:bookmarkStart w:id="259" w:name="_Toc175233381"/>
      <w:r>
        <w:rPr>
          <w:rFonts w:hint="eastAsia" w:ascii="宋体" w:hAnsi="宋体" w:eastAsia="宋体"/>
          <w:sz w:val="28"/>
          <w:szCs w:val="28"/>
        </w:rPr>
        <w:t>施工质量控制</w:t>
      </w:r>
      <w:bookmarkEnd w:id="259"/>
    </w:p>
    <w:p w14:paraId="72215617">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在施工过程中，用户单位应要求施工单位严把项目原材料、成品及半成品的进场关和验收关，对进场材料进行收、发、储、运等环节的技术管理。设备进场进行设备开箱检验，检查设备的质量证明文件包括出厂合格证和质量检测报告等质保资料，核对现场材料的质量、数量是否达到要求。</w:t>
      </w:r>
    </w:p>
    <w:p w14:paraId="03F0AD44">
      <w:pPr>
        <w:pStyle w:val="3"/>
        <w:spacing w:before="0" w:after="0" w:line="360" w:lineRule="auto"/>
        <w:rPr>
          <w:rFonts w:hint="eastAsia" w:ascii="宋体" w:hAnsi="宋体" w:eastAsia="宋体"/>
          <w:sz w:val="28"/>
          <w:szCs w:val="28"/>
        </w:rPr>
      </w:pPr>
      <w:bookmarkStart w:id="260" w:name="_Toc175233382"/>
      <w:r>
        <w:rPr>
          <w:rFonts w:hint="eastAsia" w:ascii="宋体" w:hAnsi="宋体" w:eastAsia="宋体"/>
          <w:sz w:val="28"/>
          <w:szCs w:val="28"/>
        </w:rPr>
        <w:t>安全文明施工</w:t>
      </w:r>
      <w:bookmarkEnd w:id="260"/>
    </w:p>
    <w:p w14:paraId="4333B563">
      <w:pPr>
        <w:pStyle w:val="44"/>
        <w:numPr>
          <w:ilvl w:val="2"/>
          <w:numId w:val="33"/>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进入施工现场的所有人员必须严格遵守施工现场的各项管理规定和操作规程。</w:t>
      </w:r>
    </w:p>
    <w:p w14:paraId="31C26CD5">
      <w:pPr>
        <w:pStyle w:val="44"/>
        <w:numPr>
          <w:ilvl w:val="2"/>
          <w:numId w:val="33"/>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所有材料必须堆放平稳，所有工具必须随手放入工具包内。</w:t>
      </w:r>
    </w:p>
    <w:p w14:paraId="0AD6075E">
      <w:pPr>
        <w:pStyle w:val="44"/>
        <w:numPr>
          <w:ilvl w:val="2"/>
          <w:numId w:val="33"/>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严禁赤脚、穿高跟鞋、拖鞋和带钉易滑的鞋进入施工现场，施工现场，严禁酒后作业。</w:t>
      </w:r>
    </w:p>
    <w:p w14:paraId="4FE54869">
      <w:pPr>
        <w:pStyle w:val="44"/>
        <w:numPr>
          <w:ilvl w:val="2"/>
          <w:numId w:val="33"/>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各种配电箱（电器）及电源线必须符合要求。</w:t>
      </w:r>
    </w:p>
    <w:p w14:paraId="2A17C4E1">
      <w:pPr>
        <w:pStyle w:val="44"/>
        <w:numPr>
          <w:ilvl w:val="2"/>
          <w:numId w:val="33"/>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各种机具使用时，必须有防护措施，并严格按操作规程使用。</w:t>
      </w:r>
    </w:p>
    <w:p w14:paraId="6CE8B251">
      <w:pPr>
        <w:pStyle w:val="44"/>
        <w:numPr>
          <w:ilvl w:val="2"/>
          <w:numId w:val="33"/>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保持现场整洁卫生，道路畅通。</w:t>
      </w:r>
    </w:p>
    <w:p w14:paraId="360DD1AD">
      <w:pPr>
        <w:pStyle w:val="44"/>
        <w:numPr>
          <w:ilvl w:val="2"/>
          <w:numId w:val="33"/>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各种材料按建设单位要求放在指定位置。</w:t>
      </w:r>
    </w:p>
    <w:p w14:paraId="4B31A440">
      <w:pPr>
        <w:pStyle w:val="44"/>
        <w:numPr>
          <w:ilvl w:val="2"/>
          <w:numId w:val="33"/>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施工中尽量减少垃圾，做到活完料净脚下清，禁止抛扔垃圾，及时清运。</w:t>
      </w:r>
    </w:p>
    <w:p w14:paraId="4A771340">
      <w:pPr>
        <w:pStyle w:val="44"/>
        <w:numPr>
          <w:ilvl w:val="2"/>
          <w:numId w:val="33"/>
        </w:numPr>
        <w:spacing w:line="360" w:lineRule="auto"/>
        <w:ind w:left="0" w:firstLine="480"/>
        <w:rPr>
          <w:rFonts w:hint="eastAsia" w:ascii="宋体" w:hAnsi="宋体" w:eastAsia="宋体" w:cs="Arial"/>
          <w:kern w:val="21"/>
          <w:sz w:val="24"/>
        </w:rPr>
      </w:pPr>
      <w:r>
        <w:rPr>
          <w:rFonts w:hint="eastAsia" w:ascii="宋体" w:hAnsi="宋体" w:eastAsia="宋体" w:cs="Arial"/>
          <w:kern w:val="21"/>
          <w:sz w:val="24"/>
        </w:rPr>
        <w:t>施工中严格控制噪声，专人负责。</w:t>
      </w:r>
    </w:p>
    <w:p w14:paraId="552A5C95">
      <w:pPr>
        <w:pStyle w:val="3"/>
        <w:spacing w:before="0" w:after="0" w:line="360" w:lineRule="auto"/>
        <w:rPr>
          <w:rFonts w:hint="eastAsia" w:ascii="宋体" w:hAnsi="宋体" w:eastAsia="宋体"/>
          <w:sz w:val="28"/>
          <w:szCs w:val="28"/>
        </w:rPr>
      </w:pPr>
      <w:bookmarkStart w:id="261" w:name="_Toc175233383"/>
      <w:r>
        <w:rPr>
          <w:rFonts w:hint="eastAsia" w:ascii="宋体" w:hAnsi="宋体" w:eastAsia="宋体"/>
          <w:sz w:val="28"/>
          <w:szCs w:val="28"/>
        </w:rPr>
        <w:t>项目调试计划</w:t>
      </w:r>
      <w:bookmarkEnd w:id="261"/>
    </w:p>
    <w:p w14:paraId="552EB444">
      <w:pPr>
        <w:spacing w:line="360" w:lineRule="auto"/>
        <w:ind w:firstLine="480" w:firstLineChars="200"/>
        <w:rPr>
          <w:rFonts w:hint="eastAsia" w:ascii="宋体" w:hAnsi="宋体" w:eastAsia="宋体" w:cs="Arial"/>
          <w:kern w:val="21"/>
          <w:sz w:val="24"/>
        </w:rPr>
      </w:pPr>
      <w:r>
        <w:rPr>
          <w:rFonts w:hint="eastAsia" w:ascii="宋体" w:hAnsi="宋体" w:eastAsia="宋体" w:cs="Arial"/>
          <w:kern w:val="21"/>
          <w:sz w:val="24"/>
        </w:rPr>
        <w:t>调试将分为设备单体调试、内部系统之间联调、总体调试：</w:t>
      </w:r>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6"/>
        <w:gridCol w:w="7320"/>
      </w:tblGrid>
      <w:tr w14:paraId="7569F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2" w:hRule="atLeast"/>
        </w:trPr>
        <w:tc>
          <w:tcPr>
            <w:tcW w:w="702" w:type="pct"/>
            <w:vAlign w:val="center"/>
          </w:tcPr>
          <w:p w14:paraId="7BC6835E">
            <w:pPr>
              <w:spacing w:line="440" w:lineRule="exact"/>
              <w:rPr>
                <w:rFonts w:hint="eastAsia" w:ascii="宋体" w:hAnsi="宋体" w:eastAsia="宋体" w:cs="宋体"/>
                <w:sz w:val="21"/>
                <w:szCs w:val="21"/>
              </w:rPr>
            </w:pPr>
            <w:r>
              <w:rPr>
                <w:rFonts w:hint="eastAsia" w:ascii="宋体" w:hAnsi="宋体" w:eastAsia="宋体" w:cs="宋体"/>
                <w:sz w:val="21"/>
                <w:szCs w:val="21"/>
              </w:rPr>
              <w:t>设备单体调试</w:t>
            </w:r>
          </w:p>
        </w:tc>
        <w:tc>
          <w:tcPr>
            <w:tcW w:w="4298" w:type="pct"/>
            <w:vAlign w:val="center"/>
          </w:tcPr>
          <w:p w14:paraId="09AAB838">
            <w:pPr>
              <w:spacing w:line="440" w:lineRule="exact"/>
              <w:rPr>
                <w:rFonts w:hint="eastAsia" w:ascii="宋体" w:hAnsi="宋体" w:eastAsia="宋体" w:cs="宋体"/>
                <w:sz w:val="21"/>
                <w:szCs w:val="21"/>
              </w:rPr>
            </w:pPr>
            <w:r>
              <w:rPr>
                <w:rFonts w:hint="eastAsia" w:ascii="宋体" w:hAnsi="宋体" w:eastAsia="宋体" w:cs="宋体"/>
                <w:sz w:val="21"/>
                <w:szCs w:val="21"/>
              </w:rPr>
              <w:t>在设备安装完毕，接线检查无误后进行对该设备独立的测试，以保证单个设备的技术性能，技术指标，功能等能达到合同中相关技术条款的要求</w:t>
            </w:r>
          </w:p>
        </w:tc>
      </w:tr>
      <w:tr w14:paraId="39CAC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pct"/>
            <w:vAlign w:val="center"/>
          </w:tcPr>
          <w:p w14:paraId="7CDA14AE">
            <w:pPr>
              <w:spacing w:line="440" w:lineRule="exact"/>
              <w:rPr>
                <w:rFonts w:hint="eastAsia" w:ascii="宋体" w:hAnsi="宋体" w:eastAsia="宋体" w:cs="宋体"/>
                <w:sz w:val="21"/>
                <w:szCs w:val="21"/>
              </w:rPr>
            </w:pPr>
            <w:r>
              <w:rPr>
                <w:rFonts w:hint="eastAsia" w:ascii="宋体" w:hAnsi="宋体" w:eastAsia="宋体" w:cs="宋体"/>
                <w:sz w:val="21"/>
                <w:szCs w:val="21"/>
              </w:rPr>
              <w:t>系统调试</w:t>
            </w:r>
          </w:p>
        </w:tc>
        <w:tc>
          <w:tcPr>
            <w:tcW w:w="4298" w:type="pct"/>
            <w:vAlign w:val="center"/>
          </w:tcPr>
          <w:p w14:paraId="55585BE8">
            <w:pPr>
              <w:spacing w:line="440" w:lineRule="exact"/>
              <w:rPr>
                <w:rFonts w:hint="eastAsia" w:ascii="宋体" w:hAnsi="宋体" w:eastAsia="宋体" w:cs="宋体"/>
                <w:sz w:val="21"/>
                <w:szCs w:val="21"/>
              </w:rPr>
            </w:pPr>
            <w:r>
              <w:rPr>
                <w:rFonts w:hint="eastAsia" w:ascii="宋体" w:hAnsi="宋体" w:eastAsia="宋体" w:cs="宋体"/>
                <w:sz w:val="21"/>
                <w:szCs w:val="21"/>
              </w:rPr>
              <w:t>在各设备单机调试完成并确认正常工作后，为本项目所提供的所有设备之间的配合进行调试。以保证所有设备具有良好的匹配和连接的正确，联动、闭锁功能正确，信息传送正确，从而为今后的总体联调提供良好的基础。</w:t>
            </w:r>
          </w:p>
        </w:tc>
      </w:tr>
      <w:tr w14:paraId="7BDE1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2" w:type="pct"/>
            <w:vAlign w:val="center"/>
          </w:tcPr>
          <w:p w14:paraId="33542269">
            <w:pPr>
              <w:spacing w:line="440" w:lineRule="exact"/>
              <w:rPr>
                <w:rFonts w:hint="eastAsia" w:ascii="宋体" w:hAnsi="宋体" w:eastAsia="宋体" w:cs="宋体"/>
                <w:sz w:val="21"/>
                <w:szCs w:val="21"/>
              </w:rPr>
            </w:pPr>
            <w:r>
              <w:rPr>
                <w:rFonts w:hint="eastAsia" w:ascii="宋体" w:hAnsi="宋体" w:eastAsia="宋体" w:cs="宋体"/>
                <w:sz w:val="21"/>
                <w:szCs w:val="21"/>
              </w:rPr>
              <w:t>总体调试</w:t>
            </w:r>
          </w:p>
        </w:tc>
        <w:tc>
          <w:tcPr>
            <w:tcW w:w="4298" w:type="pct"/>
            <w:vAlign w:val="center"/>
          </w:tcPr>
          <w:p w14:paraId="3DB8F6BA">
            <w:pPr>
              <w:spacing w:line="440" w:lineRule="exact"/>
              <w:rPr>
                <w:rFonts w:hint="eastAsia" w:ascii="宋体" w:hAnsi="宋体" w:eastAsia="宋体" w:cs="宋体"/>
                <w:sz w:val="21"/>
                <w:szCs w:val="21"/>
              </w:rPr>
            </w:pPr>
            <w:r>
              <w:rPr>
                <w:rFonts w:hint="eastAsia" w:ascii="宋体" w:hAnsi="宋体" w:eastAsia="宋体" w:cs="宋体"/>
                <w:sz w:val="21"/>
                <w:szCs w:val="21"/>
              </w:rPr>
              <w:t>将本项目所提供的设备与系统进行联合调试，监测系统的连接、监控、监测是否达到设计和合同的要求，以全面验证所供系统是否发挥出所应达到的功能和目的。</w:t>
            </w:r>
          </w:p>
        </w:tc>
      </w:tr>
    </w:tbl>
    <w:p w14:paraId="12FB3FE5">
      <w:pPr>
        <w:pStyle w:val="57"/>
      </w:pPr>
      <w:bookmarkStart w:id="262" w:name="_Toc165896068"/>
      <w:bookmarkStart w:id="263" w:name="_Toc165909238"/>
      <w:bookmarkStart w:id="264" w:name="_Toc332971356"/>
      <w:bookmarkStart w:id="265" w:name="_Toc172620055"/>
      <w:bookmarkStart w:id="266" w:name="_Toc493702829"/>
      <w:bookmarkStart w:id="267" w:name="_Toc15975895"/>
      <w:bookmarkStart w:id="268" w:name="_Toc165906785"/>
      <w:bookmarkStart w:id="269" w:name="_Toc332971369"/>
      <w:bookmarkStart w:id="270" w:name="_Toc332971366"/>
    </w:p>
    <w:p w14:paraId="4BCEFDD8">
      <w:pPr>
        <w:widowControl/>
        <w:jc w:val="left"/>
        <w:rPr>
          <w:rFonts w:ascii="Times New Roman" w:hAnsi="Times New Roman" w:eastAsia="宋体" w:cs="Times New Roman"/>
          <w:spacing w:val="-2"/>
          <w:sz w:val="24"/>
          <w:szCs w:val="21"/>
          <w14:ligatures w14:val="standardContextual"/>
        </w:rPr>
      </w:pPr>
      <w:r>
        <w:br w:type="page"/>
      </w:r>
    </w:p>
    <w:p w14:paraId="5EED3683">
      <w:pPr>
        <w:pStyle w:val="2"/>
        <w:spacing w:before="120" w:after="120" w:line="360" w:lineRule="auto"/>
        <w:jc w:val="center"/>
      </w:pPr>
      <w:bookmarkStart w:id="271" w:name="_Toc175233384"/>
      <w:r>
        <w:rPr>
          <w:rFonts w:hint="eastAsia"/>
        </w:rPr>
        <w:t>项目工程管理</w:t>
      </w:r>
      <w:bookmarkEnd w:id="271"/>
    </w:p>
    <w:p w14:paraId="4D5120C5">
      <w:pPr>
        <w:pStyle w:val="3"/>
        <w:spacing w:before="0" w:after="0" w:line="360" w:lineRule="auto"/>
        <w:rPr>
          <w:rFonts w:hint="eastAsia" w:ascii="宋体" w:hAnsi="宋体" w:eastAsia="宋体"/>
          <w:sz w:val="28"/>
          <w:szCs w:val="28"/>
        </w:rPr>
      </w:pPr>
      <w:bookmarkStart w:id="272" w:name="_Toc175233385"/>
      <w:r>
        <w:rPr>
          <w:rFonts w:hint="eastAsia" w:ascii="宋体" w:hAnsi="宋体" w:eastAsia="宋体"/>
          <w:sz w:val="28"/>
          <w:szCs w:val="28"/>
        </w:rPr>
        <w:t>建设期管理</w:t>
      </w:r>
      <w:bookmarkEnd w:id="272"/>
    </w:p>
    <w:p w14:paraId="3C6315F6">
      <w:pPr>
        <w:pStyle w:val="6"/>
        <w:spacing w:before="0" w:after="0" w:line="360" w:lineRule="auto"/>
        <w:rPr>
          <w:rFonts w:hint="eastAsia" w:ascii="宋体" w:hAnsi="宋体" w:eastAsia="宋体"/>
          <w:sz w:val="24"/>
        </w:rPr>
      </w:pPr>
      <w:bookmarkStart w:id="273" w:name="_Toc175233386"/>
      <w:r>
        <w:rPr>
          <w:rFonts w:hint="eastAsia" w:ascii="宋体" w:hAnsi="宋体" w:eastAsia="宋体"/>
          <w:sz w:val="24"/>
        </w:rPr>
        <w:t>组织管理</w:t>
      </w:r>
      <w:bookmarkEnd w:id="273"/>
    </w:p>
    <w:p w14:paraId="404E4387">
      <w:pPr>
        <w:pStyle w:val="57"/>
      </w:pPr>
      <w:r>
        <w:rPr>
          <w:rFonts w:hint="eastAsia"/>
        </w:rPr>
        <w:t>该工程在施工前，为保证工程的顺利实施和如期完成，西宁市湟中区水利建设管理中心应组织有关专业人员，具体负责该工程的施工，做好施工前的一切准备工作。工程在建设期间，要严格按照有关规范进行施工，要认真执行“四制”。并且明确分级管理责任人，实行分级管理责任制，项目法人负责工程的组织与资金管理工作，还应负责工程的施工技术，进度计划安排、统计、质检及监理等各项工作的协调，为保证工程的质量，建议选有施工经验的单位承担该工程的施工，要严把工程质量关，从组织上、制度上提供保障。</w:t>
      </w:r>
    </w:p>
    <w:p w14:paraId="15815E9F">
      <w:pPr>
        <w:pStyle w:val="7"/>
        <w:spacing w:before="0" w:after="0" w:line="360" w:lineRule="auto"/>
        <w:rPr>
          <w:rFonts w:hint="eastAsia" w:ascii="宋体" w:hAnsi="宋体" w:eastAsia="宋体"/>
          <w:b w:val="0"/>
          <w:bCs/>
          <w:sz w:val="24"/>
        </w:rPr>
      </w:pPr>
      <w:bookmarkStart w:id="456" w:name="_GoBack"/>
      <w:bookmarkEnd w:id="456"/>
      <w:r>
        <w:rPr>
          <w:rFonts w:hint="eastAsia" w:ascii="宋体" w:hAnsi="宋体" w:eastAsia="宋体"/>
          <w:b w:val="0"/>
          <w:bCs/>
          <w:sz w:val="24"/>
        </w:rPr>
        <w:t>项目法人责任制</w:t>
      </w:r>
    </w:p>
    <w:p w14:paraId="1F17C5AB">
      <w:pPr>
        <w:pStyle w:val="57"/>
      </w:pPr>
      <w:r>
        <w:rPr>
          <w:rFonts w:hint="eastAsia"/>
        </w:rPr>
        <w:t>项目建设由西宁市湟中区水利建设管理中心负责，结合实际情况，确定项目业主，并下达委托书，明确业主在项目建设管理中的主体地位，对项目的立项、筹建、建设、生产经费的全过程负责，是项目建设的直接组织者和实施者，负责按项目的建设规模、投资总额、建设工期、工程质量，实行项目的全过程管理。根据工程规模和特点，优选施工单位、监理单位，实行合同管理；建立健全施工质量检查体系和管理制度，加强现场协调和组织验收等工作，对国家投资负责。</w:t>
      </w:r>
    </w:p>
    <w:p w14:paraId="6E06E4AB">
      <w:pPr>
        <w:pStyle w:val="7"/>
        <w:spacing w:before="0" w:after="0" w:line="360" w:lineRule="auto"/>
        <w:rPr>
          <w:rFonts w:hint="eastAsia" w:ascii="宋体" w:hAnsi="宋体" w:eastAsia="宋体"/>
          <w:b w:val="0"/>
          <w:bCs/>
          <w:sz w:val="24"/>
        </w:rPr>
      </w:pPr>
      <w:r>
        <w:rPr>
          <w:rFonts w:hint="eastAsia" w:ascii="宋体" w:hAnsi="宋体" w:eastAsia="宋体"/>
          <w:b w:val="0"/>
          <w:bCs/>
          <w:sz w:val="24"/>
        </w:rPr>
        <w:t>招投标制</w:t>
      </w:r>
    </w:p>
    <w:p w14:paraId="197F7321">
      <w:pPr>
        <w:pStyle w:val="57"/>
      </w:pPr>
      <w:r>
        <w:rPr>
          <w:rFonts w:hint="eastAsia"/>
        </w:rPr>
        <w:t>为确保本项目的顺利实施和建设，保证在有限的投资范围内，所采购的实施方案编制、设备及软件购置、项目监理、等必须符合项目建设要求，发挥其投资效益，必须依据有关法规进行采购。</w:t>
      </w:r>
    </w:p>
    <w:p w14:paraId="497067F8">
      <w:pPr>
        <w:pStyle w:val="57"/>
      </w:pPr>
      <w:r>
        <w:rPr>
          <w:rFonts w:hint="eastAsia"/>
        </w:rPr>
        <w:t>实施方案编制、项目监理采用其他采购方式。设备及软件购置采用公开招标方式。</w:t>
      </w:r>
    </w:p>
    <w:p w14:paraId="78516AA9">
      <w:pPr>
        <w:pStyle w:val="7"/>
        <w:spacing w:before="0" w:after="0" w:line="360" w:lineRule="auto"/>
        <w:rPr>
          <w:rFonts w:hint="eastAsia" w:ascii="宋体" w:hAnsi="宋体" w:eastAsia="宋体"/>
          <w:b w:val="0"/>
          <w:bCs/>
          <w:sz w:val="24"/>
        </w:rPr>
      </w:pPr>
      <w:r>
        <w:rPr>
          <w:rFonts w:hint="eastAsia" w:ascii="宋体" w:hAnsi="宋体" w:eastAsia="宋体"/>
          <w:b w:val="0"/>
          <w:bCs/>
          <w:sz w:val="24"/>
        </w:rPr>
        <w:t>建设监理制</w:t>
      </w:r>
    </w:p>
    <w:p w14:paraId="6675BFDE">
      <w:pPr>
        <w:pStyle w:val="57"/>
      </w:pPr>
      <w:r>
        <w:rPr>
          <w:rFonts w:hint="eastAsia"/>
        </w:rPr>
        <w:t>按照《水利工程建设监理规定》（水利部水建【2006】28号）的规定，项目法人应当按照水利工程建设项目招标投标管理的规定，确定具有相应资质的监理单位，并报项目主管部门备案，并签订监理委托合同，明确监理单位的责任与义务，按照合同控制工程建设的投资、工期、质量，并协调有关各方面的关系。从施工合同的签订到实施，从主要原材料、设备的购置到使用安装，从施工的每个环节到阶段工程质量验收，从阶段进度付款到竣工结算，进行全过程监理，实行施工质量一票否决制。确保工程建设质量，促进整个项目建设的顺利进行。</w:t>
      </w:r>
    </w:p>
    <w:p w14:paraId="4E4E85D5">
      <w:pPr>
        <w:pStyle w:val="7"/>
        <w:spacing w:before="0" w:after="0" w:line="360" w:lineRule="auto"/>
        <w:rPr>
          <w:rFonts w:hint="eastAsia" w:ascii="宋体" w:hAnsi="宋体" w:eastAsia="宋体"/>
          <w:b w:val="0"/>
          <w:bCs/>
          <w:sz w:val="24"/>
        </w:rPr>
      </w:pPr>
      <w:r>
        <w:rPr>
          <w:rFonts w:hint="eastAsia" w:ascii="宋体" w:hAnsi="宋体" w:eastAsia="宋体"/>
          <w:b w:val="0"/>
          <w:bCs/>
          <w:sz w:val="24"/>
        </w:rPr>
        <w:t>合同管理制</w:t>
      </w:r>
    </w:p>
    <w:p w14:paraId="35712295">
      <w:pPr>
        <w:pStyle w:val="57"/>
      </w:pPr>
      <w:r>
        <w:rPr>
          <w:rFonts w:hint="eastAsia"/>
        </w:rPr>
        <w:t>各项建设内容由招标选定施工单位，签订承包合同，根据合同条款，建设单位和监督部门严把工程质量及购进设备质量，根据设计要求、技术规范以及合同规定的质量标准和验收标准进行工程验收，确保项目建设有计划、有步骤地进行。</w:t>
      </w:r>
    </w:p>
    <w:p w14:paraId="50487EAD">
      <w:pPr>
        <w:pStyle w:val="6"/>
        <w:spacing w:before="0" w:after="0" w:line="360" w:lineRule="auto"/>
        <w:rPr>
          <w:rFonts w:hint="eastAsia" w:ascii="宋体" w:hAnsi="宋体" w:eastAsia="宋体"/>
          <w:sz w:val="24"/>
        </w:rPr>
      </w:pPr>
      <w:bookmarkStart w:id="274" w:name="_Toc175233387"/>
      <w:r>
        <w:rPr>
          <w:rFonts w:hint="eastAsia" w:ascii="宋体" w:hAnsi="宋体" w:eastAsia="宋体"/>
          <w:sz w:val="24"/>
        </w:rPr>
        <w:t>资金管理</w:t>
      </w:r>
      <w:bookmarkEnd w:id="274"/>
    </w:p>
    <w:p w14:paraId="083096CE">
      <w:pPr>
        <w:pStyle w:val="57"/>
      </w:pPr>
      <w:r>
        <w:rPr>
          <w:rFonts w:hint="eastAsia"/>
        </w:rPr>
        <w:t>该项目是为解决西宁市湟中区农村人畜饮水净化配套工程，改善村民的生活条件，提高人口素质，促进水文事业的持续发展，积极配合东西部协作战略的实施，安排的东西部协作资金。为确保项目资金按时足额到位，要建立健全相应的专项资金管理制度，严格按照审批的建设内容使用资金，做到专款专用，严禁截留、挤占和挪用，有关部门要切实加强对工程建设资金使用情况的监督和检查。加大监管力度，发现问题及时纠正。</w:t>
      </w:r>
    </w:p>
    <w:p w14:paraId="4B161C26">
      <w:pPr>
        <w:pStyle w:val="6"/>
        <w:spacing w:before="0" w:after="0" w:line="360" w:lineRule="auto"/>
        <w:rPr>
          <w:rFonts w:hint="eastAsia" w:ascii="宋体" w:hAnsi="宋体" w:eastAsia="宋体"/>
          <w:sz w:val="24"/>
        </w:rPr>
      </w:pPr>
      <w:bookmarkStart w:id="275" w:name="_Toc175233388"/>
      <w:r>
        <w:rPr>
          <w:rFonts w:hint="eastAsia" w:ascii="宋体" w:hAnsi="宋体" w:eastAsia="宋体"/>
          <w:sz w:val="24"/>
        </w:rPr>
        <w:t>质量进度管理</w:t>
      </w:r>
      <w:bookmarkEnd w:id="275"/>
    </w:p>
    <w:p w14:paraId="2A42CA4D">
      <w:pPr>
        <w:pStyle w:val="57"/>
      </w:pPr>
      <w:r>
        <w:rPr>
          <w:rFonts w:hint="eastAsia"/>
        </w:rPr>
        <w:t>按照《农村人畜饮水项目建设管理办法》的要求，根据该工程实际情况，制定出从工程的设计、施工到竣工验收全过程的质量和进度保证措施。为确保工程进度与质量，建设及施工单位，严格按照“四制”要求和有关施工规范进行，考虑该工程点多、分散、施工期短、冬春季施工等不利因素，为确保工程进度与质量，对分级管理负责人实行目标责任制。</w:t>
      </w:r>
    </w:p>
    <w:p w14:paraId="5F57C669">
      <w:pPr>
        <w:pStyle w:val="3"/>
        <w:spacing w:before="0" w:after="0" w:line="360" w:lineRule="auto"/>
        <w:rPr>
          <w:rFonts w:hint="eastAsia" w:ascii="宋体" w:hAnsi="宋体" w:eastAsia="宋体"/>
          <w:sz w:val="28"/>
          <w:szCs w:val="28"/>
        </w:rPr>
      </w:pPr>
      <w:bookmarkStart w:id="276" w:name="_Toc175233389"/>
      <w:r>
        <w:rPr>
          <w:rFonts w:hint="eastAsia" w:ascii="宋体" w:hAnsi="宋体" w:eastAsia="宋体"/>
          <w:sz w:val="28"/>
          <w:szCs w:val="28"/>
        </w:rPr>
        <w:t>运行期管理</w:t>
      </w:r>
      <w:bookmarkEnd w:id="276"/>
    </w:p>
    <w:p w14:paraId="45638D33">
      <w:pPr>
        <w:pStyle w:val="57"/>
      </w:pPr>
      <w:r>
        <w:rPr>
          <w:rFonts w:hint="eastAsia"/>
        </w:rPr>
        <w:t>项目运行期管理中要做好以下几点：</w:t>
      </w:r>
    </w:p>
    <w:p w14:paraId="172CBC50">
      <w:pPr>
        <w:pStyle w:val="57"/>
      </w:pPr>
      <w:r>
        <w:rPr>
          <w:rFonts w:hint="eastAsia"/>
        </w:rPr>
        <w:t>（1）建立健全岗位责任制，明确职责，制定各项工作管理制度；</w:t>
      </w:r>
    </w:p>
    <w:p w14:paraId="2A411A49">
      <w:pPr>
        <w:pStyle w:val="57"/>
      </w:pPr>
      <w:r>
        <w:rPr>
          <w:rFonts w:hint="eastAsia"/>
        </w:rPr>
        <w:t>（2）加强设备的检查，及时维修工程缺陷，保证工程处于良好的运行状态；</w:t>
      </w:r>
    </w:p>
    <w:p w14:paraId="1E9A3877">
      <w:pPr>
        <w:pStyle w:val="57"/>
      </w:pPr>
      <w:r>
        <w:rPr>
          <w:rFonts w:hint="eastAsia"/>
        </w:rPr>
        <w:t>（3）建立平台预警报警机制，发现隐患，及时处理；</w:t>
      </w:r>
    </w:p>
    <w:p w14:paraId="1D74EDD2">
      <w:pPr>
        <w:pStyle w:val="57"/>
      </w:pPr>
      <w:r>
        <w:rPr>
          <w:rFonts w:hint="eastAsia"/>
        </w:rPr>
        <w:t>（4）建立设备维护制度，确保设施完好；</w:t>
      </w:r>
    </w:p>
    <w:p w14:paraId="29D45ACC">
      <w:pPr>
        <w:pStyle w:val="57"/>
      </w:pPr>
      <w:r>
        <w:rPr>
          <w:rFonts w:hint="eastAsia"/>
        </w:rPr>
        <w:t>（5）为保证运行期水质监测设备和监控设备使用寿命，管理单位应定期检查维修。</w:t>
      </w:r>
    </w:p>
    <w:p w14:paraId="52ABFEDA">
      <w:pPr>
        <w:pStyle w:val="57"/>
      </w:pPr>
      <w:r>
        <w:rPr>
          <w:rFonts w:hint="eastAsia"/>
        </w:rPr>
        <w:t>本工程的建设为增强人民体质，推动地区经济的快速发展，适应时代发展步伐有着重要的作用，其社会、经济效益重大。因此，项目建成后，建设单位应及时移交手续，明确产权归属，落实管护主体，以承包、租赁等方式确定法人主体，完善管理措施、健全各项规章制度，使管理工作逐步走向正规化、科学化、制度化轨道上来。在管理工作中，要建立和完善群管组织，广泛吸收群众参与，充分调动他们的积极性，确保工程的完好和安全运行。</w:t>
      </w:r>
    </w:p>
    <w:p w14:paraId="2B5CDA9F">
      <w:pPr>
        <w:pStyle w:val="3"/>
        <w:spacing w:before="0" w:after="0" w:line="360" w:lineRule="auto"/>
        <w:rPr>
          <w:rFonts w:hint="eastAsia" w:ascii="宋体" w:hAnsi="宋体" w:eastAsia="宋体"/>
          <w:sz w:val="28"/>
          <w:szCs w:val="28"/>
        </w:rPr>
      </w:pPr>
      <w:bookmarkStart w:id="277" w:name="_Toc175233390"/>
      <w:r>
        <w:rPr>
          <w:rFonts w:hint="eastAsia" w:ascii="宋体" w:hAnsi="宋体" w:eastAsia="宋体"/>
          <w:sz w:val="28"/>
          <w:szCs w:val="28"/>
        </w:rPr>
        <w:t>运行维护管理方案</w:t>
      </w:r>
      <w:bookmarkEnd w:id="277"/>
    </w:p>
    <w:p w14:paraId="243BCF0B">
      <w:pPr>
        <w:pStyle w:val="57"/>
      </w:pPr>
      <w:r>
        <w:rPr>
          <w:rFonts w:hint="eastAsia"/>
        </w:rPr>
        <w:t>为保证水质监测数据连续准确可靠，</w:t>
      </w:r>
      <w:r>
        <w:rPr>
          <w:color w:val="000000"/>
        </w:rPr>
        <w:t>保证</w:t>
      </w:r>
      <w:r>
        <w:rPr>
          <w:rFonts w:hint="eastAsia"/>
          <w:color w:val="000000"/>
        </w:rPr>
        <w:t>本项目</w:t>
      </w:r>
      <w:r>
        <w:rPr>
          <w:color w:val="000000"/>
        </w:rPr>
        <w:t>系统的连续运行，并提供</w:t>
      </w:r>
      <w:r>
        <w:rPr>
          <w:rFonts w:hint="eastAsia"/>
          <w:color w:val="000000"/>
        </w:rPr>
        <w:t>本项目</w:t>
      </w:r>
      <w:r>
        <w:rPr>
          <w:color w:val="000000"/>
        </w:rPr>
        <w:t>的持久性维护</w:t>
      </w:r>
      <w:r>
        <w:rPr>
          <w:rFonts w:hint="eastAsia"/>
          <w:color w:val="000000"/>
        </w:rPr>
        <w:t>，</w:t>
      </w:r>
      <w:r>
        <w:rPr>
          <w:rFonts w:hint="eastAsia"/>
        </w:rPr>
        <w:t>运维单位严格按照招标人的技术要求和质量控制要求，全面负责本项目的日常运行维护。</w:t>
      </w:r>
    </w:p>
    <w:p w14:paraId="2582A533">
      <w:pPr>
        <w:pStyle w:val="57"/>
      </w:pPr>
      <w:r>
        <w:rPr>
          <w:rFonts w:hint="eastAsia"/>
        </w:rPr>
        <w:t>运维管理规范的原则有以下几个方面。</w:t>
      </w:r>
    </w:p>
    <w:p w14:paraId="200864F4">
      <w:pPr>
        <w:pStyle w:val="57"/>
      </w:pPr>
      <w:r>
        <w:rPr>
          <w:rFonts w:hint="eastAsia"/>
        </w:rPr>
        <w:t>一是以完善的运维服务制度、流程为基础。为保障运行维护工作的质量和效率，应制定相对完善、切实可行的运行维护管理制度和规范，确定各项运维活动的标准流程和相关岗位设置等， 使运维人员在制度和流程的规范和约束下协同操作。</w:t>
      </w:r>
    </w:p>
    <w:p w14:paraId="7D15ACCB">
      <w:pPr>
        <w:pStyle w:val="57"/>
      </w:pPr>
      <w:r>
        <w:rPr>
          <w:rFonts w:hint="eastAsia"/>
        </w:rPr>
        <w:t>二是以先进、成熟的运维管理平台为手段。通过建立统一、集成、开放并可扩展的运维管理平台，实现对各类运维事件的全面采集、及时处理与合理分析，实现运行维护工作的智能化和高效率。</w:t>
      </w:r>
    </w:p>
    <w:p w14:paraId="4392E4E0">
      <w:pPr>
        <w:pStyle w:val="57"/>
      </w:pPr>
      <w:r>
        <w:rPr>
          <w:rFonts w:hint="eastAsia"/>
        </w:rPr>
        <w:t>三是以高素质的运维服务队伍为保障。运维服务的顺利实施离不开高素质的运维服务人员，因此必须不断提高运维服务队伍的专业化水平，才能有效利用技术手段和工具，做好各项运维工作。</w:t>
      </w:r>
    </w:p>
    <w:p w14:paraId="75634C66">
      <w:pPr>
        <w:pStyle w:val="57"/>
      </w:pPr>
      <w:r>
        <w:rPr>
          <w:rFonts w:hint="eastAsia"/>
        </w:rPr>
        <w:t>运行维护管理内容有以下几个方面：</w:t>
      </w:r>
    </w:p>
    <w:p w14:paraId="7D76DBE3">
      <w:pPr>
        <w:pStyle w:val="57"/>
        <w:numPr>
          <w:ilvl w:val="0"/>
          <w:numId w:val="34"/>
        </w:numPr>
        <w:ind w:left="0" w:firstLine="472"/>
      </w:pPr>
      <w:r>
        <w:rPr>
          <w:rFonts w:hint="eastAsia"/>
        </w:rPr>
        <w:t>定期提供设备维护清单和维护报告，方便建设单位检查其运行状态并记录异常情况。</w:t>
      </w:r>
    </w:p>
    <w:p w14:paraId="53DE96F7">
      <w:pPr>
        <w:pStyle w:val="57"/>
        <w:numPr>
          <w:ilvl w:val="0"/>
          <w:numId w:val="34"/>
        </w:numPr>
        <w:ind w:left="0" w:firstLine="472"/>
      </w:pPr>
      <w:r>
        <w:rPr>
          <w:rFonts w:hint="eastAsia"/>
        </w:rPr>
        <w:t>通过预防性维护，可以避免设备的突发故障和损坏，保证其数据的准确性和可靠性。预防性维护包括定期更换易损件、校准传感器、清洁设备等工作。</w:t>
      </w:r>
    </w:p>
    <w:p w14:paraId="1D52532E">
      <w:pPr>
        <w:pStyle w:val="57"/>
        <w:numPr>
          <w:ilvl w:val="0"/>
          <w:numId w:val="34"/>
        </w:numPr>
        <w:ind w:left="0" w:firstLine="472"/>
      </w:pPr>
      <w:r>
        <w:rPr>
          <w:rFonts w:hint="eastAsia"/>
        </w:rPr>
        <w:t>培训和更新工作人员的维护技能，提高其对水质系统的理解和操作能力。</w:t>
      </w:r>
    </w:p>
    <w:p w14:paraId="7A4DD031">
      <w:pPr>
        <w:pStyle w:val="57"/>
        <w:numPr>
          <w:ilvl w:val="0"/>
          <w:numId w:val="34"/>
        </w:numPr>
        <w:ind w:left="0" w:firstLine="472"/>
      </w:pPr>
      <w:r>
        <w:rPr>
          <w:rFonts w:hint="eastAsia"/>
        </w:rPr>
        <w:t>在设备发生故障时，需要及时进行维修，并记录故障情况和维修过程，以便后续分析和改进。</w:t>
      </w:r>
    </w:p>
    <w:p w14:paraId="1638E8C1">
      <w:pPr>
        <w:pStyle w:val="57"/>
        <w:numPr>
          <w:ilvl w:val="0"/>
          <w:numId w:val="34"/>
        </w:numPr>
        <w:ind w:left="0" w:firstLine="472"/>
      </w:pPr>
      <w:r>
        <w:rPr>
          <w:rFonts w:hint="eastAsia"/>
        </w:rPr>
        <w:t>不可预测的紧急维护需要立即响应，确保设备能够尽快恢复正常运行。</w:t>
      </w:r>
    </w:p>
    <w:p w14:paraId="2045FED2">
      <w:pPr>
        <w:pStyle w:val="57"/>
        <w:numPr>
          <w:ilvl w:val="0"/>
          <w:numId w:val="34"/>
        </w:numPr>
        <w:ind w:left="0" w:firstLine="472"/>
      </w:pPr>
      <w:r>
        <w:rPr>
          <w:rFonts w:hint="eastAsia"/>
        </w:rPr>
        <w:t>运维单位积极参加招标人组织的技术培训以及运维质量的相互监督检查，接受招标人或其委托相关机构的监管和考核。</w:t>
      </w:r>
    </w:p>
    <w:p w14:paraId="384D7570">
      <w:pPr>
        <w:pStyle w:val="57"/>
        <w:numPr>
          <w:ilvl w:val="0"/>
          <w:numId w:val="34"/>
        </w:numPr>
        <w:ind w:left="0" w:firstLine="472"/>
      </w:pPr>
      <w:r>
        <w:rPr>
          <w:rFonts w:hint="eastAsia"/>
        </w:rPr>
        <w:t>实施合同到期后，根据维保合同运维单位继续提供维护保养服务。</w:t>
      </w:r>
    </w:p>
    <w:p w14:paraId="0E9F178B">
      <w:pPr>
        <w:pStyle w:val="57"/>
      </w:pPr>
      <w:r>
        <w:rPr>
          <w:rFonts w:hint="eastAsia"/>
        </w:rPr>
        <w:t>运行维护及管理期间，运维人员的工资及相关费用均由运维单位负责。如遇水电、通讯条件无法满足运维需要，水电等基础设施出现无法解决的重大问题时，运维单位提前和当地监测站协调解决并报告招标人。</w:t>
      </w:r>
    </w:p>
    <w:bookmarkEnd w:id="262"/>
    <w:bookmarkEnd w:id="263"/>
    <w:bookmarkEnd w:id="264"/>
    <w:bookmarkEnd w:id="265"/>
    <w:bookmarkEnd w:id="266"/>
    <w:bookmarkEnd w:id="267"/>
    <w:bookmarkEnd w:id="268"/>
    <w:p w14:paraId="0856D869">
      <w:pPr>
        <w:pStyle w:val="3"/>
        <w:spacing w:before="0" w:after="0" w:line="360" w:lineRule="auto"/>
        <w:rPr>
          <w:rFonts w:hint="eastAsia" w:ascii="宋体" w:hAnsi="宋体" w:eastAsia="宋体"/>
          <w:sz w:val="28"/>
          <w:szCs w:val="28"/>
        </w:rPr>
      </w:pPr>
      <w:bookmarkStart w:id="278" w:name="_Toc165896072"/>
      <w:bookmarkStart w:id="279" w:name="_Toc172620059"/>
      <w:bookmarkStart w:id="280" w:name="_Toc475278361"/>
      <w:bookmarkStart w:id="281" w:name="_Toc391655073"/>
      <w:bookmarkStart w:id="282" w:name="_Toc165909242"/>
      <w:bookmarkStart w:id="283" w:name="_Toc15975899"/>
      <w:bookmarkStart w:id="284" w:name="_Toc165906789"/>
      <w:bookmarkStart w:id="285" w:name="_Toc403984079"/>
      <w:bookmarkStart w:id="286" w:name="_Toc175233391"/>
      <w:bookmarkStart w:id="287" w:name="_Toc493702830"/>
      <w:r>
        <w:rPr>
          <w:rFonts w:ascii="宋体" w:hAnsi="宋体" w:eastAsia="宋体"/>
          <w:sz w:val="28"/>
          <w:szCs w:val="28"/>
        </w:rPr>
        <w:t>人员培训</w:t>
      </w:r>
      <w:bookmarkEnd w:id="278"/>
      <w:bookmarkEnd w:id="279"/>
      <w:bookmarkEnd w:id="280"/>
      <w:bookmarkEnd w:id="281"/>
      <w:bookmarkEnd w:id="282"/>
      <w:bookmarkEnd w:id="283"/>
      <w:bookmarkEnd w:id="284"/>
      <w:bookmarkEnd w:id="285"/>
      <w:r>
        <w:rPr>
          <w:rFonts w:hint="eastAsia" w:ascii="宋体" w:hAnsi="宋体" w:eastAsia="宋体"/>
          <w:sz w:val="28"/>
          <w:szCs w:val="28"/>
        </w:rPr>
        <w:t>管理</w:t>
      </w:r>
      <w:bookmarkEnd w:id="286"/>
    </w:p>
    <w:p w14:paraId="06B8EE5E">
      <w:pPr>
        <w:pStyle w:val="6"/>
        <w:spacing w:before="0" w:after="0" w:line="360" w:lineRule="auto"/>
        <w:rPr>
          <w:rFonts w:hint="eastAsia" w:ascii="宋体" w:hAnsi="宋体" w:eastAsia="宋体"/>
          <w:sz w:val="24"/>
        </w:rPr>
      </w:pPr>
      <w:bookmarkStart w:id="288" w:name="_Toc172620060"/>
      <w:bookmarkStart w:id="289" w:name="_Toc475278362"/>
      <w:bookmarkStart w:id="290" w:name="_Toc175233392"/>
      <w:bookmarkStart w:id="291" w:name="_Toc165909243"/>
      <w:bookmarkStart w:id="292" w:name="_Toc165896073"/>
      <w:bookmarkStart w:id="293" w:name="_Toc15975900"/>
      <w:bookmarkStart w:id="294" w:name="_Toc165906790"/>
      <w:r>
        <w:rPr>
          <w:rFonts w:hint="eastAsia" w:ascii="宋体" w:hAnsi="宋体" w:eastAsia="宋体"/>
          <w:sz w:val="24"/>
        </w:rPr>
        <w:t>培训</w:t>
      </w:r>
      <w:r>
        <w:rPr>
          <w:rFonts w:ascii="宋体" w:hAnsi="宋体" w:eastAsia="宋体"/>
          <w:sz w:val="24"/>
        </w:rPr>
        <w:t>目的</w:t>
      </w:r>
      <w:bookmarkEnd w:id="288"/>
      <w:bookmarkEnd w:id="289"/>
      <w:bookmarkEnd w:id="290"/>
      <w:bookmarkEnd w:id="291"/>
      <w:bookmarkEnd w:id="292"/>
      <w:bookmarkEnd w:id="293"/>
      <w:bookmarkEnd w:id="294"/>
    </w:p>
    <w:p w14:paraId="7F9D44CA">
      <w:pPr>
        <w:pStyle w:val="57"/>
      </w:pPr>
      <w:r>
        <w:rPr>
          <w:rFonts w:hint="eastAsia"/>
        </w:rPr>
        <w:t>为了保证项目建设的质量，提高项目建设人员的业务水平和技术水平，计划对参加项目建设的相关人员进行多方面、多层次的培训。</w:t>
      </w:r>
    </w:p>
    <w:p w14:paraId="4F6505DF">
      <w:pPr>
        <w:pStyle w:val="6"/>
        <w:spacing w:before="0" w:after="0" w:line="360" w:lineRule="auto"/>
        <w:rPr>
          <w:rFonts w:hint="eastAsia" w:ascii="宋体" w:hAnsi="宋体" w:eastAsia="宋体"/>
          <w:sz w:val="24"/>
        </w:rPr>
      </w:pPr>
      <w:bookmarkStart w:id="295" w:name="_Toc165909244"/>
      <w:bookmarkStart w:id="296" w:name="_Toc172620061"/>
      <w:bookmarkStart w:id="297" w:name="_Toc475278364"/>
      <w:bookmarkStart w:id="298" w:name="_Toc165906791"/>
      <w:bookmarkStart w:id="299" w:name="_Toc175233393"/>
      <w:bookmarkStart w:id="300" w:name="_Toc165896074"/>
      <w:bookmarkStart w:id="301" w:name="_Toc15975901"/>
      <w:r>
        <w:rPr>
          <w:rFonts w:hint="eastAsia" w:ascii="宋体" w:hAnsi="宋体" w:eastAsia="宋体"/>
          <w:sz w:val="24"/>
        </w:rPr>
        <w:t>培训对象</w:t>
      </w:r>
      <w:bookmarkEnd w:id="295"/>
      <w:bookmarkEnd w:id="296"/>
      <w:bookmarkEnd w:id="297"/>
      <w:bookmarkEnd w:id="298"/>
      <w:bookmarkEnd w:id="299"/>
      <w:bookmarkEnd w:id="300"/>
      <w:bookmarkEnd w:id="301"/>
    </w:p>
    <w:p w14:paraId="719F2C07">
      <w:pPr>
        <w:pStyle w:val="57"/>
      </w:pPr>
      <w:r>
        <w:rPr>
          <w:rFonts w:hint="eastAsia"/>
        </w:rPr>
        <w:t>本项目设施设备运维人员，以及愿意参加培训的内部管理人员。</w:t>
      </w:r>
    </w:p>
    <w:p w14:paraId="0268F797">
      <w:pPr>
        <w:pStyle w:val="6"/>
        <w:spacing w:before="0" w:after="0" w:line="360" w:lineRule="auto"/>
        <w:rPr>
          <w:rFonts w:hint="eastAsia" w:ascii="宋体" w:hAnsi="宋体" w:eastAsia="宋体"/>
          <w:sz w:val="24"/>
        </w:rPr>
      </w:pPr>
      <w:bookmarkStart w:id="302" w:name="_Toc165906792"/>
      <w:bookmarkStart w:id="303" w:name="_Toc165896075"/>
      <w:bookmarkStart w:id="304" w:name="_Toc165909245"/>
      <w:bookmarkStart w:id="305" w:name="_Toc172620062"/>
      <w:bookmarkStart w:id="306" w:name="_Toc175233394"/>
      <w:bookmarkStart w:id="307" w:name="_Toc475278365"/>
      <w:bookmarkStart w:id="308" w:name="_Toc15975902"/>
      <w:r>
        <w:rPr>
          <w:rFonts w:hint="eastAsia" w:ascii="宋体" w:hAnsi="宋体" w:eastAsia="宋体"/>
          <w:sz w:val="24"/>
        </w:rPr>
        <w:t>培训</w:t>
      </w:r>
      <w:r>
        <w:rPr>
          <w:rFonts w:ascii="宋体" w:hAnsi="宋体" w:eastAsia="宋体"/>
          <w:sz w:val="24"/>
        </w:rPr>
        <w:t>内容</w:t>
      </w:r>
      <w:bookmarkEnd w:id="302"/>
      <w:bookmarkEnd w:id="303"/>
      <w:bookmarkEnd w:id="304"/>
      <w:bookmarkEnd w:id="305"/>
      <w:bookmarkEnd w:id="306"/>
      <w:bookmarkEnd w:id="307"/>
      <w:bookmarkEnd w:id="308"/>
    </w:p>
    <w:p w14:paraId="0FEF16D4">
      <w:pPr>
        <w:pStyle w:val="57"/>
        <w:numPr>
          <w:ilvl w:val="0"/>
          <w:numId w:val="35"/>
        </w:numPr>
        <w:ind w:firstLineChars="0"/>
      </w:pPr>
      <w:r>
        <w:rPr>
          <w:rFonts w:hint="eastAsia"/>
        </w:rPr>
        <w:t>项目管理知识培训</w:t>
      </w:r>
    </w:p>
    <w:p w14:paraId="624B749E">
      <w:pPr>
        <w:pStyle w:val="57"/>
      </w:pPr>
      <w:r>
        <w:rPr>
          <w:rFonts w:hint="eastAsia"/>
        </w:rPr>
        <w:t>项目管理知识培训的对象是工程项目管理小组，培训内容包括项目管理的基本原理、项目集成管理、项目范围管理、项目时间管理、项目成本管理、项目质量、项目风险管理等，培训目标是保证项目管理小组的项目管理人员对先进的项目管理知识有比较全面、深刻的了解，并且能把这些知识应用到工程的项目管理中，确保工程建设在可控的范围下进行。</w:t>
      </w:r>
    </w:p>
    <w:p w14:paraId="03C5CBAF">
      <w:pPr>
        <w:pStyle w:val="57"/>
        <w:numPr>
          <w:ilvl w:val="0"/>
          <w:numId w:val="35"/>
        </w:numPr>
        <w:ind w:firstLineChars="0"/>
      </w:pPr>
      <w:r>
        <w:rPr>
          <w:rFonts w:hint="eastAsia"/>
        </w:rPr>
        <w:t>技术培训</w:t>
      </w:r>
    </w:p>
    <w:p w14:paraId="5623BCD5">
      <w:pPr>
        <w:pStyle w:val="57"/>
      </w:pPr>
      <w:r>
        <w:rPr>
          <w:rFonts w:hint="eastAsia"/>
        </w:rPr>
        <w:t>技术培训分为基础知识培训和专业知识培训两种，培训对象分别为项目管理人员和专业技术人员。</w:t>
      </w:r>
    </w:p>
    <w:p w14:paraId="3410236D">
      <w:pPr>
        <w:pStyle w:val="57"/>
      </w:pPr>
      <w:r>
        <w:rPr>
          <w:rFonts w:hint="eastAsia"/>
        </w:rPr>
        <w:t>基础知识的培训内容包括系统建设的理论、工程设计方案、信息系统建设项目管理、信息系统建设项目监理等，目的是使项目管理人员从总体技术实现对系统建设有深刻的认识，保证他们更好的完成项目管理工作。</w:t>
      </w:r>
    </w:p>
    <w:p w14:paraId="6A2BE396">
      <w:pPr>
        <w:pStyle w:val="57"/>
      </w:pPr>
      <w:r>
        <w:rPr>
          <w:rFonts w:hint="eastAsia"/>
        </w:rPr>
        <w:t>专业知识培训主要包括面向对象的分析与设计、中间件产品与技术、数据库技术、计算机网络技术等。通过技术培训和技术交流，可以提高全体参与系统建设的技术人员的技术水平，为工程的设计、开发、实施和维护奠定坚实的技术基础。</w:t>
      </w:r>
    </w:p>
    <w:p w14:paraId="30C6ED46">
      <w:pPr>
        <w:pStyle w:val="6"/>
        <w:spacing w:before="0" w:after="0" w:line="360" w:lineRule="auto"/>
        <w:rPr>
          <w:rFonts w:hint="eastAsia" w:ascii="宋体" w:hAnsi="宋体" w:eastAsia="宋体"/>
          <w:sz w:val="24"/>
        </w:rPr>
      </w:pPr>
      <w:bookmarkStart w:id="309" w:name="_Toc172620063"/>
      <w:bookmarkStart w:id="310" w:name="_Toc165896076"/>
      <w:bookmarkStart w:id="311" w:name="_Toc15975903"/>
      <w:bookmarkStart w:id="312" w:name="_Toc175233395"/>
      <w:bookmarkStart w:id="313" w:name="_Toc165906793"/>
      <w:bookmarkStart w:id="314" w:name="_Toc165909246"/>
      <w:bookmarkStart w:id="315" w:name="_Toc396314148"/>
      <w:bookmarkStart w:id="316" w:name="_Toc475278366"/>
      <w:r>
        <w:rPr>
          <w:rFonts w:hint="eastAsia" w:ascii="宋体" w:hAnsi="宋体" w:eastAsia="宋体"/>
          <w:sz w:val="24"/>
        </w:rPr>
        <w:t>培训方式</w:t>
      </w:r>
      <w:bookmarkEnd w:id="309"/>
      <w:bookmarkEnd w:id="310"/>
      <w:bookmarkEnd w:id="311"/>
      <w:bookmarkEnd w:id="312"/>
      <w:bookmarkEnd w:id="313"/>
      <w:bookmarkEnd w:id="314"/>
      <w:bookmarkEnd w:id="315"/>
      <w:bookmarkEnd w:id="316"/>
    </w:p>
    <w:p w14:paraId="5A8972F7">
      <w:pPr>
        <w:pStyle w:val="57"/>
        <w:rPr>
          <w:rFonts w:hint="eastAsia" w:asciiTheme="minorEastAsia" w:hAnsiTheme="minorEastAsia" w:eastAsiaTheme="minorEastAsia"/>
        </w:rPr>
      </w:pPr>
      <w:r>
        <w:rPr>
          <w:rFonts w:hint="eastAsia"/>
        </w:rPr>
        <w:t>针对现有工程人员的技术水平不均衡现状，将采用基础性培训与提高性培训，以</w:t>
      </w:r>
      <w:r>
        <w:t>满足</w:t>
      </w:r>
      <w:r>
        <w:rPr>
          <w:rFonts w:hint="eastAsia"/>
        </w:rPr>
        <w:t>不同人员的需求；采用分系统、分板快，理论与实践相结合，注重实践的培训方式，以达到培训目的。</w:t>
      </w:r>
      <w:r>
        <w:rPr>
          <w:rFonts w:asciiTheme="minorEastAsia" w:hAnsiTheme="minorEastAsia" w:eastAsiaTheme="minorEastAsia"/>
        </w:rPr>
        <w:br w:type="page"/>
      </w:r>
    </w:p>
    <w:bookmarkEnd w:id="269"/>
    <w:bookmarkEnd w:id="270"/>
    <w:bookmarkEnd w:id="287"/>
    <w:p w14:paraId="660C5415">
      <w:pPr>
        <w:pStyle w:val="2"/>
        <w:spacing w:before="120" w:after="120" w:line="360" w:lineRule="auto"/>
        <w:jc w:val="center"/>
      </w:pPr>
      <w:bookmarkStart w:id="317" w:name="_Toc342339405"/>
      <w:bookmarkEnd w:id="317"/>
      <w:bookmarkStart w:id="318" w:name="_Toc342339429"/>
      <w:bookmarkEnd w:id="318"/>
      <w:bookmarkStart w:id="319" w:name="_Toc342339411"/>
      <w:bookmarkEnd w:id="319"/>
      <w:bookmarkStart w:id="320" w:name="_Toc342339430"/>
      <w:bookmarkEnd w:id="320"/>
      <w:bookmarkStart w:id="321" w:name="_Toc342339409"/>
      <w:bookmarkEnd w:id="321"/>
      <w:bookmarkStart w:id="322" w:name="_Toc342339428"/>
      <w:bookmarkEnd w:id="322"/>
      <w:bookmarkStart w:id="323" w:name="_Toc342339432"/>
      <w:bookmarkEnd w:id="323"/>
      <w:bookmarkStart w:id="324" w:name="_Toc342339410"/>
      <w:bookmarkEnd w:id="324"/>
      <w:bookmarkStart w:id="325" w:name="_Toc342339426"/>
      <w:bookmarkEnd w:id="325"/>
      <w:bookmarkStart w:id="326" w:name="_Toc342339431"/>
      <w:bookmarkEnd w:id="326"/>
      <w:bookmarkStart w:id="327" w:name="_Toc342339412"/>
      <w:bookmarkEnd w:id="327"/>
      <w:bookmarkStart w:id="328" w:name="_Toc342339425"/>
      <w:bookmarkEnd w:id="328"/>
      <w:bookmarkStart w:id="329" w:name="_Toc342339419"/>
      <w:bookmarkEnd w:id="329"/>
      <w:bookmarkStart w:id="330" w:name="_Toc342339427"/>
      <w:bookmarkEnd w:id="330"/>
      <w:bookmarkStart w:id="331" w:name="_Toc342339407"/>
      <w:bookmarkEnd w:id="331"/>
      <w:bookmarkStart w:id="332" w:name="_Toc342339408"/>
      <w:bookmarkEnd w:id="332"/>
      <w:bookmarkStart w:id="333" w:name="_Toc342339404"/>
      <w:bookmarkEnd w:id="333"/>
      <w:bookmarkStart w:id="334" w:name="_Toc342339406"/>
      <w:bookmarkEnd w:id="334"/>
      <w:bookmarkStart w:id="335" w:name="_Toc165896082"/>
      <w:bookmarkStart w:id="336" w:name="_Toc175233396"/>
      <w:bookmarkStart w:id="337" w:name="_Toc15975909"/>
      <w:bookmarkStart w:id="338" w:name="_Toc493702846"/>
      <w:bookmarkStart w:id="339" w:name="_Toc332971379"/>
      <w:bookmarkStart w:id="340" w:name="_Toc165906799"/>
      <w:bookmarkStart w:id="341" w:name="_Toc172620069"/>
      <w:bookmarkStart w:id="342" w:name="_Toc165909252"/>
      <w:r>
        <w:rPr>
          <w:rFonts w:hint="eastAsia"/>
        </w:rPr>
        <w:t>项目风险与风险管理</w:t>
      </w:r>
      <w:bookmarkEnd w:id="335"/>
      <w:bookmarkEnd w:id="336"/>
      <w:bookmarkEnd w:id="337"/>
      <w:bookmarkEnd w:id="338"/>
      <w:bookmarkEnd w:id="339"/>
      <w:bookmarkEnd w:id="340"/>
      <w:bookmarkEnd w:id="341"/>
      <w:bookmarkEnd w:id="342"/>
    </w:p>
    <w:p w14:paraId="0202881E">
      <w:pPr>
        <w:pStyle w:val="3"/>
        <w:spacing w:before="0" w:after="0" w:line="360" w:lineRule="auto"/>
        <w:rPr>
          <w:rFonts w:hint="eastAsia" w:ascii="宋体" w:hAnsi="宋体" w:eastAsia="宋体"/>
          <w:sz w:val="28"/>
          <w:szCs w:val="28"/>
        </w:rPr>
      </w:pPr>
      <w:bookmarkStart w:id="343" w:name="_Toc165909253"/>
      <w:bookmarkStart w:id="344" w:name="_Toc15975910"/>
      <w:bookmarkStart w:id="345" w:name="_Toc165896083"/>
      <w:bookmarkStart w:id="346" w:name="_Toc165906800"/>
      <w:bookmarkStart w:id="347" w:name="_Toc175233397"/>
      <w:bookmarkStart w:id="348" w:name="_Toc332971380"/>
      <w:bookmarkStart w:id="349" w:name="_Toc493702847"/>
      <w:bookmarkStart w:id="350" w:name="_Toc172620070"/>
      <w:r>
        <w:rPr>
          <w:rFonts w:hint="eastAsia" w:ascii="宋体" w:hAnsi="宋体" w:eastAsia="宋体"/>
          <w:sz w:val="28"/>
          <w:szCs w:val="28"/>
        </w:rPr>
        <w:t>风险识别与分析</w:t>
      </w:r>
      <w:bookmarkEnd w:id="343"/>
      <w:bookmarkEnd w:id="344"/>
      <w:bookmarkEnd w:id="345"/>
      <w:bookmarkEnd w:id="346"/>
      <w:bookmarkEnd w:id="347"/>
      <w:bookmarkEnd w:id="348"/>
      <w:bookmarkEnd w:id="349"/>
      <w:bookmarkEnd w:id="350"/>
    </w:p>
    <w:p w14:paraId="362C9C40">
      <w:pPr>
        <w:pStyle w:val="6"/>
        <w:spacing w:before="0" w:after="0" w:line="360" w:lineRule="auto"/>
        <w:rPr>
          <w:rFonts w:hint="eastAsia" w:ascii="宋体" w:hAnsi="宋体" w:eastAsia="宋体"/>
          <w:sz w:val="24"/>
        </w:rPr>
      </w:pPr>
      <w:bookmarkStart w:id="351" w:name="_Toc172620071"/>
      <w:bookmarkStart w:id="352" w:name="_Toc15975911"/>
      <w:bookmarkStart w:id="353" w:name="_Toc175233398"/>
      <w:bookmarkStart w:id="354" w:name="_Toc165909254"/>
      <w:bookmarkStart w:id="355" w:name="_Toc165896084"/>
      <w:bookmarkStart w:id="356" w:name="_Toc165906801"/>
      <w:r>
        <w:rPr>
          <w:rFonts w:hint="eastAsia" w:ascii="宋体" w:hAnsi="宋体" w:eastAsia="宋体"/>
          <w:sz w:val="24"/>
        </w:rPr>
        <w:t>技术风险</w:t>
      </w:r>
      <w:bookmarkEnd w:id="351"/>
      <w:bookmarkEnd w:id="352"/>
      <w:bookmarkEnd w:id="353"/>
      <w:bookmarkEnd w:id="354"/>
      <w:bookmarkEnd w:id="355"/>
      <w:bookmarkEnd w:id="356"/>
    </w:p>
    <w:p w14:paraId="68730350">
      <w:pPr>
        <w:pStyle w:val="57"/>
      </w:pPr>
      <w:r>
        <w:rPr>
          <w:rFonts w:hint="eastAsia"/>
        </w:rPr>
        <w:t>在系统建设中，选择最适合于项目的技术路线和核心产品非常重要。但是每种技术路线和产品都会有其不足之处，从而不可避免地带来某些风险。本节将分析技术方面可能的风险，并提出避免或降低风险的措施。</w:t>
      </w:r>
    </w:p>
    <w:p w14:paraId="1F531085">
      <w:pPr>
        <w:pStyle w:val="6"/>
        <w:spacing w:before="0" w:after="0" w:line="360" w:lineRule="auto"/>
        <w:rPr>
          <w:rFonts w:hint="eastAsia" w:ascii="宋体" w:hAnsi="宋体" w:eastAsia="宋体"/>
          <w:sz w:val="24"/>
        </w:rPr>
      </w:pPr>
      <w:bookmarkStart w:id="357" w:name="_Toc175233399"/>
      <w:bookmarkStart w:id="358" w:name="_Toc165906802"/>
      <w:bookmarkStart w:id="359" w:name="_Toc15975912"/>
      <w:bookmarkStart w:id="360" w:name="_Toc11178"/>
      <w:bookmarkStart w:id="361" w:name="_Toc19262"/>
      <w:bookmarkStart w:id="362" w:name="_Toc165909255"/>
      <w:bookmarkStart w:id="363" w:name="_Toc526847109"/>
      <w:bookmarkStart w:id="364" w:name="_Toc172620072"/>
      <w:bookmarkStart w:id="365" w:name="_Toc165896085"/>
      <w:r>
        <w:rPr>
          <w:rFonts w:hint="eastAsia" w:ascii="宋体" w:hAnsi="宋体" w:eastAsia="宋体"/>
          <w:sz w:val="24"/>
        </w:rPr>
        <w:t>产品风险</w:t>
      </w:r>
      <w:bookmarkEnd w:id="357"/>
      <w:bookmarkEnd w:id="358"/>
      <w:bookmarkEnd w:id="359"/>
      <w:bookmarkEnd w:id="360"/>
      <w:bookmarkEnd w:id="361"/>
      <w:bookmarkEnd w:id="362"/>
      <w:bookmarkEnd w:id="363"/>
      <w:bookmarkEnd w:id="364"/>
      <w:bookmarkEnd w:id="365"/>
    </w:p>
    <w:p w14:paraId="50AD8CD7">
      <w:pPr>
        <w:pStyle w:val="57"/>
      </w:pPr>
      <w:r>
        <w:rPr>
          <w:rFonts w:hint="eastAsia"/>
        </w:rPr>
        <w:t>在系统建设中的产品选择上，将选择比较成熟、性能稳定的产品，如报表工具和全文检索工具。对此将采用如下应对措施：</w:t>
      </w:r>
    </w:p>
    <w:p w14:paraId="2D00FBBC">
      <w:pPr>
        <w:widowControl/>
        <w:numPr>
          <w:ilvl w:val="0"/>
          <w:numId w:val="36"/>
        </w:numPr>
        <w:spacing w:line="360" w:lineRule="auto"/>
        <w:ind w:left="0" w:firstLine="480" w:firstLineChars="200"/>
        <w:rPr>
          <w:rFonts w:hint="eastAsia" w:asciiTheme="minorEastAsia" w:hAnsiTheme="minorEastAsia" w:eastAsiaTheme="minorEastAsia"/>
          <w:sz w:val="24"/>
        </w:rPr>
      </w:pPr>
      <w:r>
        <w:rPr>
          <w:rFonts w:hint="eastAsia" w:asciiTheme="minorEastAsia" w:hAnsiTheme="minorEastAsia" w:eastAsiaTheme="minorEastAsia"/>
          <w:sz w:val="24"/>
        </w:rPr>
        <w:t>进行细致全面的需求调研。确保最大限度地涵盖用户需求的各个方面，降低系统实施的风险。</w:t>
      </w:r>
    </w:p>
    <w:p w14:paraId="19C616CB">
      <w:pPr>
        <w:widowControl/>
        <w:numPr>
          <w:ilvl w:val="0"/>
          <w:numId w:val="36"/>
        </w:numPr>
        <w:spacing w:line="360" w:lineRule="auto"/>
        <w:ind w:left="0" w:firstLine="480" w:firstLineChars="200"/>
        <w:rPr>
          <w:rFonts w:hint="eastAsia" w:asciiTheme="minorEastAsia" w:hAnsiTheme="minorEastAsia" w:eastAsiaTheme="minorEastAsia"/>
          <w:sz w:val="24"/>
        </w:rPr>
      </w:pPr>
      <w:r>
        <w:rPr>
          <w:rFonts w:hint="eastAsia" w:asciiTheme="minorEastAsia" w:hAnsiTheme="minorEastAsia" w:eastAsiaTheme="minorEastAsia"/>
          <w:sz w:val="24"/>
        </w:rPr>
        <w:t>仔细选择实施策略。针对产品业务模块需求差异度，分别采用部分定制和完全定制的策略，并针对用户使用习惯进行调整，以增加用户对系统认可度，降低实施风险。</w:t>
      </w:r>
    </w:p>
    <w:p w14:paraId="5F6525C3">
      <w:pPr>
        <w:pStyle w:val="6"/>
        <w:spacing w:before="0" w:after="0" w:line="360" w:lineRule="auto"/>
        <w:rPr>
          <w:rFonts w:hint="eastAsia" w:ascii="宋体" w:hAnsi="宋体" w:eastAsia="宋体"/>
          <w:sz w:val="24"/>
        </w:rPr>
      </w:pPr>
      <w:bookmarkStart w:id="366" w:name="_Toc165909256"/>
      <w:bookmarkStart w:id="367" w:name="_Toc175233400"/>
      <w:bookmarkStart w:id="368" w:name="_Toc15975913"/>
      <w:bookmarkStart w:id="369" w:name="_Toc165906803"/>
      <w:bookmarkStart w:id="370" w:name="_Toc526847110"/>
      <w:bookmarkStart w:id="371" w:name="_Toc172620073"/>
      <w:bookmarkStart w:id="372" w:name="_Toc165896086"/>
      <w:bookmarkStart w:id="373" w:name="_Toc18967"/>
      <w:bookmarkStart w:id="374" w:name="_Toc17615"/>
      <w:r>
        <w:rPr>
          <w:rFonts w:hint="eastAsia" w:ascii="宋体" w:hAnsi="宋体" w:eastAsia="宋体"/>
          <w:sz w:val="24"/>
        </w:rPr>
        <w:t>升级风险</w:t>
      </w:r>
      <w:bookmarkEnd w:id="366"/>
      <w:bookmarkEnd w:id="367"/>
      <w:bookmarkEnd w:id="368"/>
      <w:bookmarkEnd w:id="369"/>
      <w:bookmarkEnd w:id="370"/>
      <w:bookmarkEnd w:id="371"/>
      <w:bookmarkEnd w:id="372"/>
      <w:bookmarkEnd w:id="373"/>
      <w:bookmarkEnd w:id="374"/>
    </w:p>
    <w:p w14:paraId="466696A3">
      <w:pPr>
        <w:pStyle w:val="57"/>
      </w:pPr>
      <w:r>
        <w:rPr>
          <w:rFonts w:hint="eastAsia"/>
        </w:rPr>
        <w:t>软件系统建设是一个长期、持续的过程。鉴于现在的技术发展的速度，在</w:t>
      </w:r>
      <w:bookmarkStart w:id="375" w:name="page26"/>
      <w:bookmarkEnd w:id="375"/>
      <w:r>
        <w:rPr>
          <w:rFonts w:hint="eastAsia"/>
        </w:rPr>
        <w:t>将来必然遇到技术规范、技术平台和产品升级的问题；另一方面，随着系统应用，用户必然会产生新的需求，从而导致系统的升级。对此将采用以下应对措施：</w:t>
      </w:r>
    </w:p>
    <w:p w14:paraId="68ADBB29">
      <w:pPr>
        <w:widowControl/>
        <w:numPr>
          <w:ilvl w:val="0"/>
          <w:numId w:val="37"/>
        </w:numPr>
        <w:spacing w:line="360" w:lineRule="auto"/>
        <w:ind w:left="0" w:firstLine="480" w:firstLineChars="200"/>
        <w:rPr>
          <w:rFonts w:hint="eastAsia" w:asciiTheme="minorEastAsia" w:hAnsiTheme="minorEastAsia" w:eastAsiaTheme="minorEastAsia"/>
          <w:sz w:val="24"/>
        </w:rPr>
      </w:pPr>
      <w:r>
        <w:rPr>
          <w:rFonts w:hint="eastAsia" w:asciiTheme="minorEastAsia" w:hAnsiTheme="minorEastAsia" w:eastAsiaTheme="minorEastAsia"/>
          <w:sz w:val="24"/>
        </w:rPr>
        <w:t>注重系统设计的前瞻性。在系统设计时充分考虑到技术的发展趋势，避免采用即将被淘汰的技术和产品；而在产品选择上充分考虑到厂商的支持力度，降低升级风险。</w:t>
      </w:r>
    </w:p>
    <w:p w14:paraId="6BF20CD4">
      <w:pPr>
        <w:widowControl/>
        <w:numPr>
          <w:ilvl w:val="0"/>
          <w:numId w:val="37"/>
        </w:numPr>
        <w:spacing w:line="360" w:lineRule="auto"/>
        <w:ind w:left="0" w:firstLine="480" w:firstLineChars="200"/>
        <w:rPr>
          <w:rFonts w:hint="eastAsia" w:asciiTheme="minorEastAsia" w:hAnsiTheme="minorEastAsia" w:eastAsiaTheme="minorEastAsia"/>
          <w:sz w:val="24"/>
        </w:rPr>
      </w:pPr>
      <w:r>
        <w:rPr>
          <w:rFonts w:hint="eastAsia" w:asciiTheme="minorEastAsia" w:hAnsiTheme="minorEastAsia" w:eastAsiaTheme="minorEastAsia"/>
          <w:sz w:val="24"/>
        </w:rPr>
        <w:t>充分挖掘用户需求，加强系统灵活性和可扩充性的设计。充分考虑到用户将来的需求，并在系统设计时注重系统的灵活性和可扩充性，减少系统升级和扩展的难度，降低升级风险。</w:t>
      </w:r>
    </w:p>
    <w:p w14:paraId="3FE3014C">
      <w:pPr>
        <w:pStyle w:val="6"/>
        <w:spacing w:before="0" w:after="0" w:line="360" w:lineRule="auto"/>
        <w:rPr>
          <w:rFonts w:hint="eastAsia" w:ascii="宋体" w:hAnsi="宋体" w:eastAsia="宋体"/>
          <w:sz w:val="24"/>
        </w:rPr>
      </w:pPr>
      <w:bookmarkStart w:id="376" w:name="_Toc165896087"/>
      <w:bookmarkStart w:id="377" w:name="_Toc172620074"/>
      <w:bookmarkStart w:id="378" w:name="_Toc526847112"/>
      <w:bookmarkStart w:id="379" w:name="_Toc2443"/>
      <w:bookmarkStart w:id="380" w:name="_Toc165906804"/>
      <w:bookmarkStart w:id="381" w:name="_Toc15975914"/>
      <w:bookmarkStart w:id="382" w:name="_Toc165909257"/>
      <w:bookmarkStart w:id="383" w:name="_Toc15954"/>
      <w:bookmarkStart w:id="384" w:name="_Toc175233401"/>
      <w:r>
        <w:rPr>
          <w:rFonts w:hint="eastAsia" w:ascii="宋体" w:hAnsi="宋体" w:eastAsia="宋体"/>
          <w:sz w:val="24"/>
        </w:rPr>
        <w:t>实施风险</w:t>
      </w:r>
      <w:bookmarkEnd w:id="376"/>
      <w:bookmarkEnd w:id="377"/>
      <w:bookmarkEnd w:id="378"/>
      <w:bookmarkEnd w:id="379"/>
      <w:bookmarkEnd w:id="380"/>
      <w:bookmarkEnd w:id="381"/>
      <w:bookmarkEnd w:id="382"/>
      <w:bookmarkEnd w:id="383"/>
      <w:bookmarkEnd w:id="384"/>
    </w:p>
    <w:p w14:paraId="02B5AA30">
      <w:pPr>
        <w:pStyle w:val="57"/>
      </w:pPr>
      <w:r>
        <w:rPr>
          <w:rFonts w:hint="eastAsia"/>
        </w:rPr>
        <w:t>以下列出了一些常见的实施风险及其防范建议，以期引起实施双方的高度重视，及时做好防范准备，保证项目的顺利实施和成功。</w:t>
      </w:r>
    </w:p>
    <w:p w14:paraId="0E4EA44B">
      <w:pPr>
        <w:pStyle w:val="57"/>
        <w:numPr>
          <w:ilvl w:val="0"/>
          <w:numId w:val="38"/>
        </w:numPr>
        <w:ind w:firstLineChars="0"/>
      </w:pPr>
      <w:r>
        <w:rPr>
          <w:rFonts w:hint="eastAsia"/>
        </w:rPr>
        <w:t>组织风险</w:t>
      </w:r>
    </w:p>
    <w:p w14:paraId="7A019535">
      <w:pPr>
        <w:widowControl/>
        <w:numPr>
          <w:ilvl w:val="0"/>
          <w:numId w:val="39"/>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人力资源投入不足。项目的实施建设需要投入大量的合格的实施技术人员和业务人员，实施组织队伍庞大，大型组织的管理与培训将是一个挑战和风险。</w:t>
      </w:r>
    </w:p>
    <w:p w14:paraId="29C5F96F">
      <w:pPr>
        <w:widowControl/>
        <w:numPr>
          <w:ilvl w:val="0"/>
          <w:numId w:val="39"/>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用户不能准确表达需求/用户技能的限制在系统实施时，首先要对用户现场的现状及用户需求做详尽的描述。通常由于用户人员对自己的业务理解还在不断的深化，因此往往在实施应用系统时用户对需求的描述会随着实施的不断深入而有所改变，造成系统需求的不稳定。</w:t>
      </w:r>
    </w:p>
    <w:p w14:paraId="2AFECF72">
      <w:pPr>
        <w:widowControl/>
        <w:numPr>
          <w:ilvl w:val="0"/>
          <w:numId w:val="39"/>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实施范围的不断扩大导致项目延期大型项目实施周期较长，因此通常在实施过程中，用户会对项目开始时所提出的目标和要求有所变化，造成实施范围的不断扩大和项目实施的不断延期，最终使项目搁浅。</w:t>
      </w:r>
    </w:p>
    <w:p w14:paraId="0C692421">
      <w:pPr>
        <w:pStyle w:val="57"/>
        <w:numPr>
          <w:ilvl w:val="0"/>
          <w:numId w:val="38"/>
        </w:numPr>
        <w:ind w:firstLineChars="0"/>
      </w:pPr>
      <w:r>
        <w:rPr>
          <w:rFonts w:hint="eastAsia"/>
        </w:rPr>
        <w:t>过程控制风险</w:t>
      </w:r>
    </w:p>
    <w:p w14:paraId="389BC60E">
      <w:pPr>
        <w:widowControl/>
        <w:numPr>
          <w:ilvl w:val="0"/>
          <w:numId w:val="40"/>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领导层的全力支持</w:t>
      </w:r>
    </w:p>
    <w:p w14:paraId="4B09C62D">
      <w:pPr>
        <w:pStyle w:val="57"/>
      </w:pPr>
      <w:r>
        <w:rPr>
          <w:rFonts w:hint="eastAsia"/>
        </w:rPr>
        <w:t>领导层的全力支持是必不可少的。必须尽一切可能争取他们的关心和支持；定期或不定期，口头或书面向领导层汇报；在考虑解决方案时要兼顾信息共享和数据的安全保密性，既要保证上级领导及时准确地得到需要的数据，又要兼顾机构业务活动的相对独立性等。</w:t>
      </w:r>
    </w:p>
    <w:p w14:paraId="510483F0">
      <w:pPr>
        <w:widowControl/>
        <w:numPr>
          <w:ilvl w:val="0"/>
          <w:numId w:val="40"/>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主要项目人员缺位</w:t>
      </w:r>
    </w:p>
    <w:p w14:paraId="354674FD">
      <w:pPr>
        <w:pStyle w:val="57"/>
      </w:pPr>
      <w:r>
        <w:rPr>
          <w:rFonts w:hint="eastAsia"/>
        </w:rPr>
        <w:t>主要项目人员对于整个项目的进展起着关键的制约作用、促进作用，是项目进展中人员因素的重点，要特别重视。</w:t>
      </w:r>
    </w:p>
    <w:p w14:paraId="6B02EFD7">
      <w:pPr>
        <w:widowControl/>
        <w:numPr>
          <w:ilvl w:val="0"/>
          <w:numId w:val="40"/>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实施人员的专业能力和可提供的数量实施人员在实施过程中起很大的作用，因此，要对实施人员做重点考虑。</w:t>
      </w:r>
    </w:p>
    <w:p w14:paraId="6AB7F474">
      <w:pPr>
        <w:widowControl/>
        <w:numPr>
          <w:ilvl w:val="0"/>
          <w:numId w:val="40"/>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项目实施人员的频繁更换</w:t>
      </w:r>
    </w:p>
    <w:p w14:paraId="2E29EEF7">
      <w:pPr>
        <w:pStyle w:val="57"/>
      </w:pPr>
      <w:r>
        <w:rPr>
          <w:rFonts w:hint="eastAsia"/>
        </w:rPr>
        <w:t>人员频繁更换，将导致项目工作计划的任务不能按时完成予，接替者需要额外的时间来熟悉项目和赋予他的工作，从而影响项目的进程和成本，要纳入风险管理中。</w:t>
      </w:r>
    </w:p>
    <w:p w14:paraId="19C157FE">
      <w:pPr>
        <w:widowControl/>
        <w:numPr>
          <w:ilvl w:val="0"/>
          <w:numId w:val="40"/>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缺乏多厂商之间的相互协调和各厂商所负的责任不清</w:t>
      </w:r>
    </w:p>
    <w:p w14:paraId="29597215">
      <w:pPr>
        <w:pStyle w:val="57"/>
      </w:pPr>
      <w:r>
        <w:rPr>
          <w:rFonts w:hint="eastAsia"/>
        </w:rPr>
        <w:t>项目实施所涉及的厂商很多，包括硬件、数据库、应用软件、网络或集成商等，在项目实施过程中需要多方协调、通力合作，只有这样才能保证项目保质保量、如期完成。</w:t>
      </w:r>
    </w:p>
    <w:p w14:paraId="677A5C0E">
      <w:pPr>
        <w:widowControl/>
        <w:numPr>
          <w:ilvl w:val="0"/>
          <w:numId w:val="40"/>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系统技能和技术风险</w:t>
      </w:r>
    </w:p>
    <w:p w14:paraId="5C2A696A">
      <w:pPr>
        <w:pStyle w:val="57"/>
      </w:pPr>
      <w:r>
        <w:rPr>
          <w:rFonts w:hint="eastAsia"/>
        </w:rPr>
        <w:t>对项目实施而言，选择一个好的应用系统是十分重要的，一个好的应用系统的标准是：</w:t>
      </w:r>
    </w:p>
    <w:p w14:paraId="621AE9AA">
      <w:pPr>
        <w:pStyle w:val="57"/>
        <w:numPr>
          <w:ilvl w:val="0"/>
          <w:numId w:val="41"/>
        </w:numPr>
        <w:ind w:firstLineChars="0"/>
      </w:pPr>
      <w:r>
        <w:rPr>
          <w:rFonts w:hint="eastAsia"/>
        </w:rPr>
        <w:t>该产品必须是灵活的，成熟的。</w:t>
      </w:r>
    </w:p>
    <w:p w14:paraId="3D82F6A6">
      <w:pPr>
        <w:pStyle w:val="57"/>
        <w:numPr>
          <w:ilvl w:val="0"/>
          <w:numId w:val="41"/>
        </w:numPr>
        <w:ind w:firstLineChars="0"/>
      </w:pPr>
      <w:r>
        <w:rPr>
          <w:rFonts w:hint="eastAsia"/>
        </w:rPr>
        <w:t>该产品有很好的系统性能，有一个好的技术结构。</w:t>
      </w:r>
    </w:p>
    <w:p w14:paraId="643D1A9D">
      <w:pPr>
        <w:pStyle w:val="57"/>
        <w:numPr>
          <w:ilvl w:val="0"/>
          <w:numId w:val="41"/>
        </w:numPr>
        <w:ind w:firstLineChars="0"/>
      </w:pPr>
      <w:r>
        <w:rPr>
          <w:rFonts w:hint="eastAsia"/>
        </w:rPr>
        <w:t>有良好的技术基础，建立在开放系统上，有先进的开发工具。</w:t>
      </w:r>
    </w:p>
    <w:p w14:paraId="1732F0D9">
      <w:pPr>
        <w:widowControl/>
        <w:numPr>
          <w:ilvl w:val="0"/>
          <w:numId w:val="40"/>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避免各类人员业务水平不一对项目实施的影响</w:t>
      </w:r>
    </w:p>
    <w:p w14:paraId="184E7952">
      <w:pPr>
        <w:pStyle w:val="57"/>
      </w:pPr>
      <w:r>
        <w:rPr>
          <w:rFonts w:hint="eastAsia"/>
        </w:rPr>
        <w:t>目前业务人员，技术人员的业务水平高低差别较大，这对项目的正确实施有相当的影响。</w:t>
      </w:r>
    </w:p>
    <w:p w14:paraId="1590F304">
      <w:pPr>
        <w:widowControl/>
        <w:numPr>
          <w:ilvl w:val="0"/>
          <w:numId w:val="40"/>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避免实施人员变更影响项目进度</w:t>
      </w:r>
    </w:p>
    <w:p w14:paraId="74C7AB14">
      <w:pPr>
        <w:pStyle w:val="57"/>
      </w:pPr>
      <w:r>
        <w:rPr>
          <w:rFonts w:hint="eastAsia"/>
        </w:rPr>
        <w:t>由于本项目的实施周期较长，实施人员的变更是不可避免的。</w:t>
      </w:r>
    </w:p>
    <w:p w14:paraId="2AFB1B2C">
      <w:pPr>
        <w:pStyle w:val="57"/>
      </w:pPr>
      <w:r>
        <w:rPr>
          <w:rFonts w:hint="eastAsia"/>
        </w:rPr>
        <w:t>所有实施人员所作的实施工作都应有文档记录，经业主方确认的文档应交由专人保管，包括纸张和电子介质。这样新的实施人员可以通过阅读上述文档，很快进入工作状态。对前任工作成果的修改控制可避免一些不必要的返工。</w:t>
      </w:r>
    </w:p>
    <w:p w14:paraId="7E4E3907">
      <w:pPr>
        <w:pStyle w:val="57"/>
      </w:pPr>
      <w:r>
        <w:rPr>
          <w:rFonts w:hint="eastAsia"/>
        </w:rPr>
        <w:t>所有的需求，承诺和解决方案等均以书面签字为准。不得随便更改其中的内容。除非通过同样的审批程序进行。</w:t>
      </w:r>
    </w:p>
    <w:p w14:paraId="19EEBDC7">
      <w:pPr>
        <w:pStyle w:val="57"/>
        <w:numPr>
          <w:ilvl w:val="0"/>
          <w:numId w:val="38"/>
        </w:numPr>
        <w:ind w:firstLineChars="0"/>
      </w:pPr>
      <w:r>
        <w:rPr>
          <w:rFonts w:hint="eastAsia"/>
        </w:rPr>
        <w:t>问题和风险管理措施</w:t>
      </w:r>
    </w:p>
    <w:p w14:paraId="76F3350F">
      <w:pPr>
        <w:pStyle w:val="57"/>
      </w:pPr>
      <w:r>
        <w:rPr>
          <w:rFonts w:hint="eastAsia"/>
        </w:rPr>
        <w:t>问题管理流程主要提供一种沟通的机制，保证项目双方在实施过程中就发生的各种情况进行提议或讨论。</w:t>
      </w:r>
    </w:p>
    <w:p w14:paraId="6B47825F">
      <w:pPr>
        <w:pStyle w:val="57"/>
      </w:pPr>
      <w:r>
        <w:rPr>
          <w:rFonts w:hint="eastAsia"/>
        </w:rPr>
        <w:t>提出问题主要是为了监控其后续的状态和结果，这些问题可以针对项目文档的内容、项目管理、测试结果或软件产品问题等，它同风险争议的区别在于问题主要是针对交付成果的不足之处。</w:t>
      </w:r>
    </w:p>
    <w:p w14:paraId="31617584">
      <w:pPr>
        <w:pStyle w:val="57"/>
        <w:numPr>
          <w:ilvl w:val="0"/>
          <w:numId w:val="38"/>
        </w:numPr>
        <w:ind w:firstLineChars="0"/>
      </w:pPr>
      <w:r>
        <w:rPr>
          <w:rFonts w:hint="eastAsia"/>
        </w:rPr>
        <w:t>协作关系</w:t>
      </w:r>
    </w:p>
    <w:p w14:paraId="02E61E4D">
      <w:pPr>
        <w:pStyle w:val="57"/>
      </w:pPr>
      <w:r>
        <w:rPr>
          <w:rFonts w:hint="eastAsia"/>
        </w:rPr>
        <w:t>本项目涉及的多方的协作，包括协调领导机构、甲方、承建方等的协作。</w:t>
      </w:r>
    </w:p>
    <w:p w14:paraId="51251F2D">
      <w:pPr>
        <w:pStyle w:val="57"/>
      </w:pPr>
      <w:r>
        <w:rPr>
          <w:rFonts w:hint="eastAsia"/>
        </w:rPr>
        <w:t>总之，本项目的建设不仅需要先进技术、充足的资金保障，还需要领导的支持，把德才兼备的技术人员和管理人员充实到项目建设中来，才能实现本项目智慧化建设。</w:t>
      </w:r>
    </w:p>
    <w:p w14:paraId="1829EBD3">
      <w:pPr>
        <w:pStyle w:val="3"/>
        <w:spacing w:before="0" w:after="0" w:line="360" w:lineRule="auto"/>
        <w:rPr>
          <w:rFonts w:hint="eastAsia" w:ascii="宋体" w:hAnsi="宋体" w:eastAsia="宋体"/>
          <w:sz w:val="28"/>
          <w:szCs w:val="28"/>
        </w:rPr>
      </w:pPr>
      <w:bookmarkStart w:id="385" w:name="_Toc175233402"/>
      <w:bookmarkStart w:id="386" w:name="_Toc493702848"/>
      <w:bookmarkStart w:id="387" w:name="_Toc172620075"/>
      <w:bookmarkStart w:id="388" w:name="_Toc165906805"/>
      <w:bookmarkStart w:id="389" w:name="_Toc15975915"/>
      <w:bookmarkStart w:id="390" w:name="_Toc165896088"/>
      <w:bookmarkStart w:id="391" w:name="_Toc332971381"/>
      <w:bookmarkStart w:id="392" w:name="_Toc165909258"/>
      <w:r>
        <w:rPr>
          <w:rFonts w:hint="eastAsia" w:ascii="宋体" w:hAnsi="宋体" w:eastAsia="宋体"/>
          <w:sz w:val="28"/>
          <w:szCs w:val="28"/>
        </w:rPr>
        <w:t>风险对策与管理</w:t>
      </w:r>
      <w:bookmarkEnd w:id="385"/>
      <w:bookmarkEnd w:id="386"/>
      <w:bookmarkEnd w:id="387"/>
      <w:bookmarkEnd w:id="388"/>
      <w:bookmarkEnd w:id="389"/>
      <w:bookmarkEnd w:id="390"/>
      <w:bookmarkEnd w:id="391"/>
      <w:bookmarkEnd w:id="392"/>
    </w:p>
    <w:p w14:paraId="1B48CC68">
      <w:pPr>
        <w:pStyle w:val="6"/>
        <w:spacing w:before="0" w:after="0" w:line="360" w:lineRule="auto"/>
        <w:rPr>
          <w:rFonts w:hint="eastAsia" w:ascii="宋体" w:hAnsi="宋体" w:eastAsia="宋体"/>
          <w:sz w:val="24"/>
        </w:rPr>
      </w:pPr>
      <w:bookmarkStart w:id="393" w:name="_Toc20307"/>
      <w:bookmarkStart w:id="394" w:name="_Toc165906806"/>
      <w:bookmarkStart w:id="395" w:name="_Toc165896089"/>
      <w:bookmarkStart w:id="396" w:name="_Toc11616"/>
      <w:bookmarkStart w:id="397" w:name="_Toc15975916"/>
      <w:bookmarkStart w:id="398" w:name="_Toc165909259"/>
      <w:bookmarkStart w:id="399" w:name="_Toc172620076"/>
      <w:bookmarkStart w:id="400" w:name="_Toc526847114"/>
      <w:bookmarkStart w:id="401" w:name="_Toc175233403"/>
      <w:r>
        <w:rPr>
          <w:rFonts w:hint="eastAsia" w:ascii="宋体" w:hAnsi="宋体" w:eastAsia="宋体"/>
          <w:sz w:val="24"/>
        </w:rPr>
        <w:t>问题和风险管理措施</w:t>
      </w:r>
      <w:bookmarkEnd w:id="393"/>
      <w:bookmarkEnd w:id="394"/>
      <w:bookmarkEnd w:id="395"/>
      <w:bookmarkEnd w:id="396"/>
      <w:bookmarkEnd w:id="397"/>
      <w:bookmarkEnd w:id="398"/>
      <w:bookmarkEnd w:id="399"/>
      <w:bookmarkEnd w:id="400"/>
      <w:bookmarkEnd w:id="401"/>
    </w:p>
    <w:p w14:paraId="52D66196">
      <w:pPr>
        <w:pStyle w:val="57"/>
      </w:pPr>
      <w:r>
        <w:rPr>
          <w:rFonts w:hint="eastAsia"/>
        </w:rPr>
        <w:t>问题管理流程主要提供一种沟通的机制，保证项目双方在实施过程中就发生的各种情况进行提议或讨论。</w:t>
      </w:r>
    </w:p>
    <w:p w14:paraId="056A8CFD">
      <w:pPr>
        <w:pStyle w:val="57"/>
      </w:pPr>
      <w:r>
        <w:rPr>
          <w:rFonts w:hint="eastAsia"/>
        </w:rPr>
        <w:t>提出问题主要是为了监控其后续的状态和结果，这些问题可以针对项目文档的内容、项目管理、测试结果或软件产品问题等，它同风险争议的区别在于问题主要是针对交付成果的不足之处。</w:t>
      </w:r>
    </w:p>
    <w:p w14:paraId="63AF830D">
      <w:pPr>
        <w:widowControl/>
        <w:numPr>
          <w:ilvl w:val="0"/>
          <w:numId w:val="42"/>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详细记录问题</w:t>
      </w:r>
      <w:bookmarkStart w:id="402" w:name="page312"/>
      <w:bookmarkEnd w:id="402"/>
    </w:p>
    <w:p w14:paraId="5F436BF4">
      <w:pPr>
        <w:pStyle w:val="57"/>
      </w:pPr>
      <w:r>
        <w:rPr>
          <w:rFonts w:hint="eastAsia"/>
        </w:rPr>
        <w:t>当发生问题时，任何一个项目组成员需填报问题报告，如果只是定制的软件产品的技术问题，则填报产品问题记录。所有的问题报告须提交至项目经理；并由项目经理予以登记管理日志。</w:t>
      </w:r>
    </w:p>
    <w:p w14:paraId="38914E80">
      <w:pPr>
        <w:widowControl/>
        <w:numPr>
          <w:ilvl w:val="0"/>
          <w:numId w:val="42"/>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问题的调研</w:t>
      </w:r>
    </w:p>
    <w:p w14:paraId="397D5CB1">
      <w:pPr>
        <w:pStyle w:val="57"/>
      </w:pPr>
      <w:r>
        <w:rPr>
          <w:rFonts w:hint="eastAsia"/>
        </w:rPr>
        <w:t>项目经理收到问题报告后应及时或指派人员进行问题的调研；调研结果应由项目经理复核；如果确定不采取措施的，项目经理应在问题报告中详细说明理由并签署“不必采取行动”的意见。</w:t>
      </w:r>
    </w:p>
    <w:p w14:paraId="1959C420">
      <w:pPr>
        <w:widowControl/>
        <w:numPr>
          <w:ilvl w:val="0"/>
          <w:numId w:val="42"/>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解决问题</w:t>
      </w:r>
    </w:p>
    <w:p w14:paraId="23C5C097">
      <w:pPr>
        <w:pStyle w:val="57"/>
      </w:pPr>
      <w:r>
        <w:rPr>
          <w:rFonts w:hint="eastAsia"/>
        </w:rPr>
        <w:t>对复杂问题，应详细记录问题的解决进程；问题报告应同时发送到相关的问题责任人；当问题解决后，须将问题报告返还并由项目经理签字确认。</w:t>
      </w:r>
    </w:p>
    <w:p w14:paraId="747A26D6">
      <w:pPr>
        <w:pStyle w:val="57"/>
      </w:pPr>
      <w:r>
        <w:rPr>
          <w:rFonts w:hint="eastAsia"/>
        </w:rPr>
        <w:t>可能影响到项目成功的风险因素应在项目实施开始前做充分的估计。问题和风险管理流程将适用于任何在实施过程中产生的风险和争议，并采用日志管理在项目进度会议上予以讨论。在实施过程中，有些风险因素的缓解超越了项目组的能力范围，以下的流程确定了如何记录这些问题及其相应的手续措施。</w:t>
      </w:r>
    </w:p>
    <w:p w14:paraId="0D30D29C">
      <w:pPr>
        <w:widowControl/>
        <w:numPr>
          <w:ilvl w:val="0"/>
          <w:numId w:val="42"/>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详细记录风险和争议问题</w:t>
      </w:r>
    </w:p>
    <w:p w14:paraId="250C6FAF">
      <w:pPr>
        <w:pStyle w:val="57"/>
      </w:pPr>
      <w:r>
        <w:rPr>
          <w:rFonts w:hint="eastAsia"/>
        </w:rPr>
        <w:t>每一个项目组成员都可以/有责任提出争议问题和揭示潜在的实施风险，并及时填报风险报告，项目经理应及时对提出的问题进行调研并确定后续措施以避免风险和争议影响项目的进程。对于超越项目组权限之外的任何问题，应及时上报。</w:t>
      </w:r>
    </w:p>
    <w:p w14:paraId="69254B36">
      <w:pPr>
        <w:widowControl/>
        <w:numPr>
          <w:ilvl w:val="0"/>
          <w:numId w:val="42"/>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问题解决与风险防范</w:t>
      </w:r>
    </w:p>
    <w:p w14:paraId="56C35120">
      <w:pPr>
        <w:pStyle w:val="57"/>
      </w:pPr>
      <w:r>
        <w:rPr>
          <w:rFonts w:hint="eastAsia"/>
        </w:rPr>
        <w:t>对较为复杂的问题，问题的解决过程应予以详细的记录；对有可选方案的问题，必须对各种情况进行讨论和记录，以便质量控制和检查；在解决措施中应对可能的实施进度和成本的影响进行充分的估计；双方项目组应讨论并形成推荐解决方案；所有的对策或推荐方案应在项目进度会议上审阅并形成变更申请或转换为问题报告等。</w:t>
      </w:r>
      <w:bookmarkStart w:id="403" w:name="page313"/>
      <w:bookmarkEnd w:id="403"/>
    </w:p>
    <w:p w14:paraId="1E0C11CB">
      <w:pPr>
        <w:pStyle w:val="57"/>
      </w:pPr>
      <w:r>
        <w:rPr>
          <w:rFonts w:hint="eastAsia"/>
        </w:rPr>
        <w:t>如果需要作为变更控制的，则风险报告将作为变更报告的附件资料；如果问题的解决不影响服务合同范围的，项目经理可以直接签署解决方案；如果不采取任何措施的，必须说明详细的理由。</w:t>
      </w:r>
    </w:p>
    <w:p w14:paraId="50135211">
      <w:pPr>
        <w:pStyle w:val="6"/>
        <w:spacing w:before="0" w:after="0" w:line="360" w:lineRule="auto"/>
        <w:rPr>
          <w:rFonts w:hint="eastAsia" w:ascii="宋体" w:hAnsi="宋体" w:eastAsia="宋体"/>
          <w:sz w:val="24"/>
        </w:rPr>
      </w:pPr>
      <w:bookmarkStart w:id="404" w:name="_Toc165909260"/>
      <w:bookmarkStart w:id="405" w:name="_Toc165896090"/>
      <w:bookmarkStart w:id="406" w:name="_Toc172620077"/>
      <w:bookmarkStart w:id="407" w:name="_Toc175233404"/>
      <w:bookmarkStart w:id="408" w:name="_Toc15975917"/>
      <w:bookmarkStart w:id="409" w:name="_Toc3745"/>
      <w:bookmarkStart w:id="410" w:name="_Toc526847115"/>
      <w:bookmarkStart w:id="411" w:name="_Toc165906807"/>
      <w:bookmarkStart w:id="412" w:name="_Toc29226"/>
      <w:r>
        <w:rPr>
          <w:rFonts w:hint="eastAsia" w:ascii="宋体" w:hAnsi="宋体" w:eastAsia="宋体"/>
          <w:sz w:val="24"/>
        </w:rPr>
        <w:t>过程控制风险</w:t>
      </w:r>
      <w:bookmarkEnd w:id="404"/>
      <w:bookmarkEnd w:id="405"/>
      <w:bookmarkEnd w:id="406"/>
      <w:bookmarkEnd w:id="407"/>
      <w:bookmarkEnd w:id="408"/>
      <w:bookmarkEnd w:id="409"/>
      <w:bookmarkEnd w:id="410"/>
      <w:bookmarkEnd w:id="411"/>
      <w:bookmarkEnd w:id="412"/>
    </w:p>
    <w:p w14:paraId="10402E4B">
      <w:pPr>
        <w:widowControl/>
        <w:numPr>
          <w:ilvl w:val="0"/>
          <w:numId w:val="43"/>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领导层的全力支持</w:t>
      </w:r>
    </w:p>
    <w:p w14:paraId="093CBE1A">
      <w:pPr>
        <w:pStyle w:val="57"/>
      </w:pPr>
      <w:r>
        <w:rPr>
          <w:rFonts w:hint="eastAsia"/>
        </w:rPr>
        <w:t>领导层的全力支持是必不可少的。必须尽一切可能争取他们的关心和支持；定期或不定期，口头或书面向领导层汇报；在考虑解决方案时要兼顾信息共享和数据的安全保密性，既要保证上级机关及时准确地得到需要的数据，又要兼顾机构业务活动的相对独立性等。</w:t>
      </w:r>
    </w:p>
    <w:p w14:paraId="7A55B087">
      <w:pPr>
        <w:widowControl/>
        <w:numPr>
          <w:ilvl w:val="0"/>
          <w:numId w:val="43"/>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主要项目人员缺位</w:t>
      </w:r>
    </w:p>
    <w:p w14:paraId="44621704">
      <w:pPr>
        <w:pStyle w:val="57"/>
      </w:pPr>
      <w:r>
        <w:rPr>
          <w:rFonts w:hint="eastAsia"/>
        </w:rPr>
        <w:t>主要项目人员对于整个项目的进展起着关键的制约作用、促进作用，是项目进展中人员因素的重点，要特别重视。为避免此风险可按下列方法实施：</w:t>
      </w:r>
    </w:p>
    <w:p w14:paraId="0219C48E">
      <w:pPr>
        <w:widowControl/>
        <w:numPr>
          <w:ilvl w:val="0"/>
          <w:numId w:val="44"/>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审阅提名做项目主要人员的专业能力和质量，是否有全面的项目管理、实施能力。</w:t>
      </w:r>
    </w:p>
    <w:p w14:paraId="319635BB">
      <w:pPr>
        <w:widowControl/>
        <w:numPr>
          <w:ilvl w:val="0"/>
          <w:numId w:val="44"/>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关键人员要建立 A、B 角色工作机制，确保全面支持能力和工作保证。</w:t>
      </w:r>
    </w:p>
    <w:p w14:paraId="6A981EF9">
      <w:pPr>
        <w:widowControl/>
        <w:numPr>
          <w:ilvl w:val="0"/>
          <w:numId w:val="44"/>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对主要项目人人员作内容进行知识跟踪和积累，确保知识可追溯，不损失。</w:t>
      </w:r>
    </w:p>
    <w:p w14:paraId="68E937B5">
      <w:pPr>
        <w:widowControl/>
        <w:numPr>
          <w:ilvl w:val="0"/>
          <w:numId w:val="43"/>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实施人员的专业能力和可提供的数量</w:t>
      </w:r>
    </w:p>
    <w:p w14:paraId="560B0141">
      <w:pPr>
        <w:pStyle w:val="57"/>
      </w:pPr>
      <w:r>
        <w:rPr>
          <w:rFonts w:hint="eastAsia"/>
        </w:rPr>
        <w:t>实施人员在实施过程中起很大的作用，因此，要对实施人员做重点考虑，为避免此风险可按下列方法实施：</w:t>
      </w:r>
    </w:p>
    <w:p w14:paraId="7F3C0708">
      <w:pPr>
        <w:widowControl/>
        <w:numPr>
          <w:ilvl w:val="0"/>
          <w:numId w:val="44"/>
        </w:numPr>
        <w:spacing w:line="360" w:lineRule="auto"/>
        <w:ind w:left="0" w:firstLine="480" w:firstLineChars="200"/>
        <w:jc w:val="left"/>
        <w:rPr>
          <w:rFonts w:hint="eastAsia" w:asciiTheme="minorEastAsia" w:hAnsiTheme="minorEastAsia" w:eastAsiaTheme="minorEastAsia"/>
          <w:sz w:val="24"/>
        </w:rPr>
      </w:pPr>
      <w:bookmarkStart w:id="413" w:name="page310"/>
      <w:bookmarkEnd w:id="413"/>
      <w:r>
        <w:rPr>
          <w:rFonts w:hint="eastAsia" w:asciiTheme="minorEastAsia" w:hAnsiTheme="minorEastAsia" w:eastAsiaTheme="minorEastAsia"/>
          <w:sz w:val="24"/>
        </w:rPr>
        <w:t>审阅提名做项目实施人员的专业能力和质量。</w:t>
      </w:r>
    </w:p>
    <w:p w14:paraId="3CE6B7BD">
      <w:pPr>
        <w:widowControl/>
        <w:numPr>
          <w:ilvl w:val="0"/>
          <w:numId w:val="44"/>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是否有全面的项目实施技能和经验。</w:t>
      </w:r>
    </w:p>
    <w:p w14:paraId="7A23B4FC">
      <w:pPr>
        <w:widowControl/>
        <w:numPr>
          <w:ilvl w:val="0"/>
          <w:numId w:val="44"/>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清晰的组织结构（无多重任务），清晰的责任。</w:t>
      </w:r>
    </w:p>
    <w:p w14:paraId="46E313E5">
      <w:pPr>
        <w:widowControl/>
        <w:numPr>
          <w:ilvl w:val="0"/>
          <w:numId w:val="44"/>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实施人员的有效性和灵活性。</w:t>
      </w:r>
    </w:p>
    <w:p w14:paraId="107F04D9">
      <w:pPr>
        <w:widowControl/>
        <w:numPr>
          <w:ilvl w:val="0"/>
          <w:numId w:val="44"/>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是否能将实施经验作为技能传授给建设单位。</w:t>
      </w:r>
    </w:p>
    <w:p w14:paraId="73E9A556">
      <w:pPr>
        <w:widowControl/>
        <w:numPr>
          <w:ilvl w:val="0"/>
          <w:numId w:val="43"/>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项目实施人员的频繁更换</w:t>
      </w:r>
    </w:p>
    <w:p w14:paraId="6578D065">
      <w:pPr>
        <w:pStyle w:val="57"/>
      </w:pPr>
      <w:r>
        <w:rPr>
          <w:rFonts w:hint="eastAsia"/>
        </w:rPr>
        <w:t>人员频繁更换，将导致项目工作计划的任务不能按时完成予，接替者需要额外的时间来熟悉项目和赋予他的工作，从而影响项目的进程和成本，要纳入风险管理中，为避免此风险可按下列方法实施：</w:t>
      </w:r>
    </w:p>
    <w:p w14:paraId="66DFB224">
      <w:pPr>
        <w:widowControl/>
        <w:numPr>
          <w:ilvl w:val="0"/>
          <w:numId w:val="44"/>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通过项目培训、项目工作磨合，培养实施人员事业心、责任心。</w:t>
      </w:r>
    </w:p>
    <w:p w14:paraId="2EC20E28">
      <w:pPr>
        <w:widowControl/>
        <w:numPr>
          <w:ilvl w:val="0"/>
          <w:numId w:val="44"/>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建立科学合理的项目管理制度，项目团队认可、接受项目管理模式。</w:t>
      </w:r>
    </w:p>
    <w:p w14:paraId="65A5F0C4">
      <w:pPr>
        <w:widowControl/>
        <w:numPr>
          <w:ilvl w:val="0"/>
          <w:numId w:val="44"/>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建立项目中的工作激励制度，避免平均主义导致优秀人员流失，促进整体工作效率。</w:t>
      </w:r>
    </w:p>
    <w:p w14:paraId="2A12800C">
      <w:pPr>
        <w:widowControl/>
        <w:numPr>
          <w:ilvl w:val="0"/>
          <w:numId w:val="43"/>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缺乏多厂商之间的相互协调和各厂商所负的责任不清</w:t>
      </w:r>
    </w:p>
    <w:p w14:paraId="22C714F8">
      <w:pPr>
        <w:pStyle w:val="57"/>
      </w:pPr>
      <w:r>
        <w:rPr>
          <w:rFonts w:hint="eastAsia"/>
        </w:rPr>
        <w:t>大型项目实施所涉及的厂商很多，包括硬件、数据库、应用软件、网络或集成商等，在项目实施过程中需要多方协调、通力合作，只有这样才能保证项目保质保量、如期完成。为避免此风险可按下列方法实施：</w:t>
      </w:r>
    </w:p>
    <w:p w14:paraId="4A7C21F2">
      <w:pPr>
        <w:widowControl/>
        <w:numPr>
          <w:ilvl w:val="0"/>
          <w:numId w:val="44"/>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为减少项目实施的协调工作，尽量减少供应商实施方数目。</w:t>
      </w:r>
    </w:p>
    <w:p w14:paraId="172F0F11">
      <w:pPr>
        <w:widowControl/>
        <w:numPr>
          <w:ilvl w:val="0"/>
          <w:numId w:val="44"/>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在项目实施时，要分清实施项目的责任范围。</w:t>
      </w:r>
    </w:p>
    <w:p w14:paraId="0361C3F7">
      <w:pPr>
        <w:widowControl/>
        <w:numPr>
          <w:ilvl w:val="0"/>
          <w:numId w:val="43"/>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系统技能和技术风险</w:t>
      </w:r>
    </w:p>
    <w:p w14:paraId="58A78477">
      <w:pPr>
        <w:pStyle w:val="57"/>
      </w:pPr>
      <w:r>
        <w:rPr>
          <w:rFonts w:hint="eastAsia"/>
        </w:rPr>
        <w:t>对项目实施而言，选择一个好的应用系统是十分重要的，一个好的应用系统的标准是：</w:t>
      </w:r>
    </w:p>
    <w:p w14:paraId="2D91A9BD">
      <w:pPr>
        <w:widowControl/>
        <w:numPr>
          <w:ilvl w:val="0"/>
          <w:numId w:val="44"/>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该产品必须是灵活的，成熟的。</w:t>
      </w:r>
    </w:p>
    <w:p w14:paraId="48298FB3">
      <w:pPr>
        <w:widowControl/>
        <w:numPr>
          <w:ilvl w:val="0"/>
          <w:numId w:val="44"/>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该产品有很好的系统性能，包括：有一个好的技术结构。</w:t>
      </w:r>
    </w:p>
    <w:p w14:paraId="7D7AB046">
      <w:pPr>
        <w:widowControl/>
        <w:numPr>
          <w:ilvl w:val="0"/>
          <w:numId w:val="44"/>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有良好的技术基础，建立在开放系统上，有先进的开发工具。</w:t>
      </w:r>
    </w:p>
    <w:p w14:paraId="66C95CFF">
      <w:pPr>
        <w:widowControl/>
        <w:numPr>
          <w:ilvl w:val="0"/>
          <w:numId w:val="43"/>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避免各类人员业务水平不一对项目实施的影响</w:t>
      </w:r>
    </w:p>
    <w:p w14:paraId="56018E4F">
      <w:pPr>
        <w:pStyle w:val="57"/>
      </w:pPr>
      <w:bookmarkStart w:id="414" w:name="page311"/>
      <w:bookmarkEnd w:id="414"/>
      <w:r>
        <w:rPr>
          <w:rFonts w:hint="eastAsia"/>
        </w:rPr>
        <w:t>目前业务人员，技术人员的业务水平高低差别较大，这对项目的正确实施有相当的影响。为避免此风险可按下列方法实施：</w:t>
      </w:r>
    </w:p>
    <w:p w14:paraId="14BD4737">
      <w:pPr>
        <w:widowControl/>
        <w:numPr>
          <w:ilvl w:val="0"/>
          <w:numId w:val="44"/>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选择项目成员时强调项目成员应有较强的应急指挥管理业务背景，业务水平和较强的接受新事物能力。</w:t>
      </w:r>
    </w:p>
    <w:p w14:paraId="3C61CCA4">
      <w:pPr>
        <w:widowControl/>
        <w:numPr>
          <w:ilvl w:val="0"/>
          <w:numId w:val="44"/>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在业务流程和需求分析时采取启发式询问，多人多岗位调查然后综合以及到业务现场调查等方法。</w:t>
      </w:r>
    </w:p>
    <w:p w14:paraId="0EF48A3F">
      <w:pPr>
        <w:widowControl/>
        <w:numPr>
          <w:ilvl w:val="0"/>
          <w:numId w:val="44"/>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同时通过项目的实施，希望能培养出一支自己的既懂业务又有过硬技术的复合型人才队伍，通过他们来大幅度提高整体应用水平。</w:t>
      </w:r>
    </w:p>
    <w:p w14:paraId="56683E1F">
      <w:pPr>
        <w:widowControl/>
        <w:numPr>
          <w:ilvl w:val="0"/>
          <w:numId w:val="43"/>
        </w:numPr>
        <w:spacing w:line="360" w:lineRule="auto"/>
        <w:ind w:left="0" w:firstLine="480" w:firstLineChars="200"/>
        <w:jc w:val="left"/>
        <w:rPr>
          <w:rFonts w:hint="eastAsia" w:asciiTheme="minorEastAsia" w:hAnsiTheme="minorEastAsia" w:eastAsiaTheme="minorEastAsia"/>
          <w:sz w:val="24"/>
        </w:rPr>
      </w:pPr>
      <w:r>
        <w:rPr>
          <w:rFonts w:hint="eastAsia" w:asciiTheme="minorEastAsia" w:hAnsiTheme="minorEastAsia" w:eastAsiaTheme="minorEastAsia"/>
          <w:sz w:val="24"/>
        </w:rPr>
        <w:t>避免实施人员变更影响项目进度</w:t>
      </w:r>
    </w:p>
    <w:p w14:paraId="7823FDAE">
      <w:pPr>
        <w:pStyle w:val="57"/>
      </w:pPr>
      <w:r>
        <w:rPr>
          <w:rFonts w:hint="eastAsia"/>
        </w:rPr>
        <w:t>建议所有实施人员所作的实施工作都应有文档记录，经确认的文档应交由专人保管，包括纸张和电子介质。这样新的实施人员可以通过阅读上述文档，很快进入工作状态。对前任工作成果的修改控制可避免一些不必要的返工。</w:t>
      </w:r>
    </w:p>
    <w:p w14:paraId="17C7F4EC">
      <w:pPr>
        <w:pStyle w:val="57"/>
      </w:pPr>
      <w:r>
        <w:rPr>
          <w:rFonts w:hint="eastAsia"/>
        </w:rPr>
        <w:t>所有的需求，承诺和解决方案等均以书面签字为准。不得随便更改其中的内容。除非通过同样的审批程序进行。</w:t>
      </w:r>
    </w:p>
    <w:p w14:paraId="6D0BCD2F">
      <w:pPr>
        <w:pStyle w:val="6"/>
        <w:spacing w:before="0" w:after="0" w:line="360" w:lineRule="auto"/>
        <w:rPr>
          <w:rFonts w:hint="eastAsia" w:ascii="宋体" w:hAnsi="宋体" w:eastAsia="宋体"/>
          <w:sz w:val="24"/>
        </w:rPr>
      </w:pPr>
      <w:bookmarkStart w:id="415" w:name="_Toc15975918"/>
      <w:bookmarkStart w:id="416" w:name="_Toc15030"/>
      <w:bookmarkStart w:id="417" w:name="_Toc24349"/>
      <w:bookmarkStart w:id="418" w:name="_Toc165896091"/>
      <w:bookmarkStart w:id="419" w:name="_Toc165906808"/>
      <w:bookmarkStart w:id="420" w:name="_Toc526847116"/>
      <w:bookmarkStart w:id="421" w:name="_Toc172620078"/>
      <w:bookmarkStart w:id="422" w:name="_Toc175233405"/>
      <w:bookmarkStart w:id="423" w:name="_Toc165909261"/>
      <w:r>
        <w:rPr>
          <w:rFonts w:hint="eastAsia" w:ascii="宋体" w:hAnsi="宋体" w:eastAsia="宋体"/>
          <w:sz w:val="24"/>
        </w:rPr>
        <w:t>协作关系</w:t>
      </w:r>
      <w:bookmarkEnd w:id="415"/>
      <w:bookmarkEnd w:id="416"/>
      <w:bookmarkEnd w:id="417"/>
      <w:bookmarkEnd w:id="418"/>
      <w:bookmarkEnd w:id="419"/>
      <w:bookmarkEnd w:id="420"/>
      <w:bookmarkEnd w:id="421"/>
      <w:bookmarkEnd w:id="422"/>
      <w:bookmarkEnd w:id="423"/>
    </w:p>
    <w:p w14:paraId="78CB80E7">
      <w:pPr>
        <w:pStyle w:val="57"/>
      </w:pPr>
      <w:r>
        <w:rPr>
          <w:rFonts w:hint="eastAsia"/>
        </w:rPr>
        <w:t>项目建设涉及的多方的协作，包括协调领导机构、甲方、承建方单位等的协作。总之，本项目的建设不仅需要先进技术、充足的资金保障，还需要领导的支持，更重要的必须建立一套完整的人才培养体系，把德才兼备的技术人员和管理人员充实到项目建设中来。</w:t>
      </w:r>
    </w:p>
    <w:p w14:paraId="321D0F6F">
      <w:pPr>
        <w:widowControl/>
        <w:spacing w:line="360" w:lineRule="auto"/>
        <w:ind w:firstLine="480" w:firstLineChars="200"/>
        <w:jc w:val="left"/>
        <w:rPr>
          <w:rFonts w:hint="eastAsia" w:asciiTheme="minorEastAsia" w:hAnsiTheme="minorEastAsia" w:eastAsiaTheme="minorEastAsia"/>
          <w:sz w:val="24"/>
        </w:rPr>
      </w:pPr>
      <w:r>
        <w:rPr>
          <w:rFonts w:asciiTheme="minorEastAsia" w:hAnsiTheme="minorEastAsia" w:eastAsiaTheme="minorEastAsia"/>
          <w:sz w:val="24"/>
        </w:rPr>
        <w:br w:type="page"/>
      </w:r>
    </w:p>
    <w:p w14:paraId="1C1DFE33">
      <w:pPr>
        <w:pStyle w:val="57"/>
        <w:sectPr>
          <w:pgSz w:w="11906" w:h="16838"/>
          <w:pgMar w:top="1440" w:right="1803" w:bottom="1440" w:left="1803" w:header="851" w:footer="992" w:gutter="0"/>
          <w:cols w:space="720" w:num="1"/>
          <w:docGrid w:linePitch="381" w:charSpace="0"/>
        </w:sectPr>
      </w:pPr>
    </w:p>
    <w:p w14:paraId="5428E383">
      <w:pPr>
        <w:pStyle w:val="2"/>
        <w:spacing w:before="120" w:after="120" w:line="360" w:lineRule="auto"/>
        <w:jc w:val="center"/>
      </w:pPr>
      <w:bookmarkStart w:id="424" w:name="_Toc175233406"/>
      <w:r>
        <w:rPr>
          <w:rFonts w:hint="eastAsia"/>
        </w:rPr>
        <w:t>招标方案</w:t>
      </w:r>
      <w:bookmarkEnd w:id="424"/>
    </w:p>
    <w:p w14:paraId="3FAD0C5B">
      <w:pPr>
        <w:pStyle w:val="3"/>
        <w:spacing w:before="0" w:after="0" w:line="360" w:lineRule="auto"/>
        <w:rPr>
          <w:rFonts w:hint="eastAsia" w:ascii="宋体" w:hAnsi="宋体" w:eastAsia="宋体"/>
          <w:sz w:val="28"/>
          <w:szCs w:val="28"/>
        </w:rPr>
      </w:pPr>
      <w:bookmarkStart w:id="425" w:name="_Toc3241"/>
      <w:bookmarkStart w:id="426" w:name="_Toc175233407"/>
      <w:bookmarkStart w:id="427" w:name="_Toc1822"/>
      <w:r>
        <w:rPr>
          <w:rFonts w:hint="eastAsia" w:ascii="宋体" w:hAnsi="宋体" w:eastAsia="宋体"/>
          <w:sz w:val="28"/>
          <w:szCs w:val="28"/>
        </w:rPr>
        <w:t>招标依据</w:t>
      </w:r>
      <w:bookmarkEnd w:id="425"/>
      <w:bookmarkEnd w:id="426"/>
      <w:bookmarkEnd w:id="427"/>
    </w:p>
    <w:p w14:paraId="6CBFCAE2">
      <w:pPr>
        <w:pStyle w:val="45"/>
        <w:spacing w:line="500" w:lineRule="exact"/>
        <w:ind w:firstLine="472" w:firstLineChars="200"/>
        <w:rPr>
          <w:rFonts w:ascii="Times New Roman" w:hAnsi="Times New Roman" w:eastAsia="宋体" w:cs="Times New Roman"/>
          <w:spacing w:val="-2"/>
          <w:sz w:val="24"/>
          <w:szCs w:val="21"/>
          <w14:ligatures w14:val="standardContextual"/>
        </w:rPr>
      </w:pPr>
      <w:r>
        <w:rPr>
          <w:rFonts w:hint="eastAsia" w:ascii="Times New Roman" w:hAnsi="Times New Roman" w:eastAsia="宋体" w:cs="Times New Roman"/>
          <w:spacing w:val="-2"/>
          <w:sz w:val="24"/>
          <w:szCs w:val="21"/>
          <w14:ligatures w14:val="standardContextual"/>
        </w:rPr>
        <w:t>为确保本项目的顺利实施和建设，保证在有限的投资范围内，所采购的实施方案编制、设备及软件购置、项目监理、等必须符合项目建设要求，发挥其投资效益，必须依据有关法规进行采购。主要依据包括：</w:t>
      </w:r>
    </w:p>
    <w:p w14:paraId="14D7396A">
      <w:pPr>
        <w:pStyle w:val="45"/>
        <w:spacing w:line="500" w:lineRule="exact"/>
        <w:ind w:firstLine="472" w:firstLineChars="200"/>
        <w:rPr>
          <w:rFonts w:ascii="Times New Roman" w:hAnsi="Times New Roman" w:eastAsia="宋体" w:cs="Times New Roman"/>
          <w:spacing w:val="-2"/>
          <w:sz w:val="24"/>
          <w:szCs w:val="21"/>
          <w14:ligatures w14:val="standardContextual"/>
        </w:rPr>
      </w:pPr>
      <w:r>
        <w:rPr>
          <w:rFonts w:hint="eastAsia" w:ascii="Times New Roman" w:hAnsi="Times New Roman" w:eastAsia="宋体" w:cs="Times New Roman"/>
          <w:spacing w:val="-2"/>
          <w:sz w:val="24"/>
          <w:szCs w:val="21"/>
          <w14:ligatures w14:val="standardContextual"/>
        </w:rPr>
        <w:t>1、《中华人民共和国政府采购法》；</w:t>
      </w:r>
    </w:p>
    <w:p w14:paraId="1FC24DFC">
      <w:pPr>
        <w:pStyle w:val="45"/>
        <w:spacing w:line="500" w:lineRule="exact"/>
        <w:ind w:firstLine="472" w:firstLineChars="200"/>
        <w:rPr>
          <w:rFonts w:ascii="Times New Roman" w:hAnsi="Times New Roman" w:eastAsia="宋体" w:cs="Times New Roman"/>
          <w:spacing w:val="-2"/>
          <w:sz w:val="24"/>
          <w:szCs w:val="21"/>
          <w14:ligatures w14:val="standardContextual"/>
        </w:rPr>
      </w:pPr>
      <w:r>
        <w:rPr>
          <w:rFonts w:hint="eastAsia" w:ascii="Times New Roman" w:hAnsi="Times New Roman" w:eastAsia="宋体" w:cs="Times New Roman"/>
          <w:spacing w:val="-2"/>
          <w:sz w:val="24"/>
          <w:szCs w:val="21"/>
          <w14:ligatures w14:val="standardContextual"/>
        </w:rPr>
        <w:t>2、《中华人民共和国政府采购法实施条例》；</w:t>
      </w:r>
    </w:p>
    <w:p w14:paraId="7C36720B">
      <w:pPr>
        <w:pStyle w:val="45"/>
        <w:spacing w:line="500" w:lineRule="exact"/>
        <w:ind w:firstLine="472" w:firstLineChars="200"/>
        <w:rPr>
          <w:rFonts w:ascii="Times New Roman" w:hAnsi="Times New Roman" w:eastAsia="宋体" w:cs="Times New Roman"/>
          <w:spacing w:val="-2"/>
          <w:sz w:val="24"/>
          <w:szCs w:val="21"/>
          <w14:ligatures w14:val="standardContextual"/>
        </w:rPr>
      </w:pPr>
      <w:r>
        <w:rPr>
          <w:rFonts w:hint="eastAsia" w:ascii="Times New Roman" w:hAnsi="Times New Roman" w:eastAsia="宋体" w:cs="Times New Roman"/>
          <w:spacing w:val="-2"/>
          <w:sz w:val="24"/>
          <w:szCs w:val="21"/>
          <w14:ligatures w14:val="standardContextual"/>
        </w:rPr>
        <w:t>3、《政府采购货物和服务招标投标管理办法》（中华人民共和国财政部令第87号）；</w:t>
      </w:r>
    </w:p>
    <w:p w14:paraId="4FC2045C">
      <w:pPr>
        <w:pStyle w:val="45"/>
        <w:spacing w:line="500" w:lineRule="exact"/>
        <w:ind w:firstLine="472" w:firstLineChars="200"/>
        <w:rPr>
          <w:rFonts w:ascii="Times New Roman" w:hAnsi="Times New Roman" w:eastAsia="宋体" w:cs="Times New Roman"/>
          <w:spacing w:val="-2"/>
          <w:sz w:val="24"/>
          <w:szCs w:val="21"/>
          <w14:ligatures w14:val="standardContextual"/>
        </w:rPr>
      </w:pPr>
      <w:r>
        <w:rPr>
          <w:rFonts w:hint="eastAsia" w:ascii="Times New Roman" w:hAnsi="Times New Roman" w:eastAsia="宋体" w:cs="Times New Roman"/>
          <w:spacing w:val="-2"/>
          <w:sz w:val="24"/>
          <w:szCs w:val="21"/>
          <w14:ligatures w14:val="standardContextual"/>
        </w:rPr>
        <w:t>4、财政部74号令－－政府采购非招标采购方式管理办法；</w:t>
      </w:r>
    </w:p>
    <w:p w14:paraId="612E1AB5">
      <w:pPr>
        <w:pStyle w:val="45"/>
        <w:spacing w:line="500" w:lineRule="exact"/>
        <w:ind w:firstLine="472" w:firstLineChars="200"/>
        <w:rPr>
          <w:rFonts w:ascii="Times New Roman" w:hAnsi="Times New Roman" w:eastAsia="宋体" w:cs="Times New Roman"/>
          <w:spacing w:val="-2"/>
          <w:sz w:val="24"/>
          <w:szCs w:val="21"/>
          <w14:ligatures w14:val="standardContextual"/>
        </w:rPr>
      </w:pPr>
      <w:r>
        <w:rPr>
          <w:rFonts w:hint="eastAsia" w:ascii="Times New Roman" w:hAnsi="Times New Roman" w:eastAsia="宋体" w:cs="Times New Roman"/>
          <w:spacing w:val="-2"/>
          <w:sz w:val="24"/>
          <w:szCs w:val="21"/>
          <w14:ligatures w14:val="standardContextual"/>
        </w:rPr>
        <w:t>5、政府采购竞争性磋商采购方式管理暂行办法（财库[2014]214号）；</w:t>
      </w:r>
    </w:p>
    <w:p w14:paraId="40C37110">
      <w:pPr>
        <w:pStyle w:val="45"/>
        <w:spacing w:line="500" w:lineRule="exact"/>
        <w:ind w:firstLine="472" w:firstLineChars="200"/>
        <w:rPr>
          <w:rFonts w:ascii="Times New Roman" w:hAnsi="Times New Roman" w:eastAsia="宋体" w:cs="Times New Roman"/>
          <w:spacing w:val="-2"/>
          <w:sz w:val="24"/>
          <w:szCs w:val="21"/>
          <w14:ligatures w14:val="standardContextual"/>
        </w:rPr>
      </w:pPr>
      <w:r>
        <w:rPr>
          <w:rFonts w:hint="eastAsia" w:ascii="Times New Roman" w:hAnsi="Times New Roman" w:eastAsia="宋体" w:cs="Times New Roman"/>
          <w:spacing w:val="-2"/>
          <w:sz w:val="24"/>
          <w:szCs w:val="21"/>
          <w14:ligatures w14:val="standardContextual"/>
        </w:rPr>
        <w:t>6、青海省财政厅关于印发青海省政府集中采购目录及标准(2024年版）的通知青财采字〔2023〕1614号。</w:t>
      </w:r>
    </w:p>
    <w:p w14:paraId="24D54E74">
      <w:pPr>
        <w:pStyle w:val="3"/>
        <w:spacing w:before="0" w:after="0" w:line="360" w:lineRule="auto"/>
        <w:rPr>
          <w:rFonts w:hint="eastAsia" w:ascii="宋体" w:hAnsi="宋体" w:eastAsia="宋体"/>
          <w:sz w:val="28"/>
          <w:szCs w:val="28"/>
        </w:rPr>
      </w:pPr>
      <w:bookmarkStart w:id="428" w:name="_Toc12312"/>
      <w:bookmarkStart w:id="429" w:name="_Toc876"/>
      <w:bookmarkStart w:id="430" w:name="_Toc175233408"/>
      <w:r>
        <w:rPr>
          <w:rFonts w:hint="eastAsia" w:ascii="宋体" w:hAnsi="宋体" w:eastAsia="宋体"/>
          <w:sz w:val="28"/>
          <w:szCs w:val="28"/>
        </w:rPr>
        <w:t>招标范围</w:t>
      </w:r>
      <w:bookmarkEnd w:id="428"/>
      <w:r>
        <w:rPr>
          <w:rFonts w:hint="eastAsia" w:ascii="宋体" w:hAnsi="宋体" w:eastAsia="宋体"/>
          <w:sz w:val="28"/>
          <w:szCs w:val="28"/>
        </w:rPr>
        <w:t>与分包依据</w:t>
      </w:r>
      <w:bookmarkEnd w:id="429"/>
      <w:bookmarkEnd w:id="430"/>
    </w:p>
    <w:p w14:paraId="262F713D">
      <w:pPr>
        <w:pStyle w:val="45"/>
        <w:spacing w:line="500" w:lineRule="exact"/>
        <w:ind w:firstLine="472" w:firstLineChars="200"/>
        <w:rPr>
          <w:rFonts w:ascii="Times New Roman" w:hAnsi="Times New Roman" w:eastAsia="宋体" w:cs="Times New Roman"/>
          <w:spacing w:val="-2"/>
          <w:sz w:val="24"/>
          <w:szCs w:val="21"/>
          <w14:ligatures w14:val="standardContextual"/>
        </w:rPr>
      </w:pPr>
      <w:r>
        <w:rPr>
          <w:rFonts w:hint="eastAsia" w:ascii="Times New Roman" w:hAnsi="Times New Roman" w:eastAsia="宋体" w:cs="Times New Roman"/>
          <w:spacing w:val="-2"/>
          <w:sz w:val="24"/>
          <w:szCs w:val="21"/>
          <w14:ligatures w14:val="standardContextual"/>
        </w:rPr>
        <w:t>本项目招标范围包括：</w:t>
      </w:r>
    </w:p>
    <w:p w14:paraId="0517F460">
      <w:pPr>
        <w:pStyle w:val="45"/>
        <w:spacing w:line="500" w:lineRule="exact"/>
        <w:ind w:firstLine="472" w:firstLineChars="200"/>
        <w:rPr>
          <w:rFonts w:ascii="Times New Roman" w:hAnsi="Times New Roman" w:eastAsia="宋体" w:cs="Times New Roman"/>
          <w:spacing w:val="-2"/>
          <w:sz w:val="24"/>
          <w:szCs w:val="21"/>
          <w14:ligatures w14:val="standardContextual"/>
        </w:rPr>
      </w:pPr>
      <w:r>
        <w:rPr>
          <w:rFonts w:hint="eastAsia" w:ascii="Times New Roman" w:hAnsi="Times New Roman" w:eastAsia="宋体" w:cs="Times New Roman"/>
          <w:spacing w:val="-2"/>
          <w:sz w:val="24"/>
          <w:szCs w:val="21"/>
          <w14:ligatures w14:val="standardContextual"/>
        </w:rPr>
        <w:t>1、实施方案编制。需选择具备相应资质的公司。</w:t>
      </w:r>
    </w:p>
    <w:p w14:paraId="0306B7BB">
      <w:pPr>
        <w:pStyle w:val="45"/>
        <w:spacing w:line="500" w:lineRule="exact"/>
        <w:ind w:firstLine="472" w:firstLineChars="200"/>
        <w:rPr>
          <w:rFonts w:ascii="Times New Roman" w:hAnsi="Times New Roman" w:eastAsia="宋体" w:cs="Times New Roman"/>
          <w:spacing w:val="-2"/>
          <w:sz w:val="24"/>
          <w:szCs w:val="21"/>
          <w14:ligatures w14:val="standardContextual"/>
        </w:rPr>
      </w:pPr>
      <w:r>
        <w:rPr>
          <w:rFonts w:hint="eastAsia" w:ascii="Times New Roman" w:hAnsi="Times New Roman" w:eastAsia="宋体" w:cs="Times New Roman"/>
          <w:spacing w:val="-2"/>
          <w:sz w:val="24"/>
          <w:szCs w:val="21"/>
          <w14:ligatures w14:val="standardContextual"/>
        </w:rPr>
        <w:t>2、设备及软件购置。</w:t>
      </w:r>
    </w:p>
    <w:p w14:paraId="33C344E5">
      <w:pPr>
        <w:pStyle w:val="45"/>
        <w:spacing w:line="500" w:lineRule="exact"/>
        <w:ind w:firstLine="472" w:firstLineChars="200"/>
        <w:rPr>
          <w:rFonts w:ascii="Times New Roman" w:hAnsi="Times New Roman" w:eastAsia="宋体" w:cs="Times New Roman"/>
          <w:spacing w:val="-2"/>
          <w:sz w:val="24"/>
          <w:szCs w:val="21"/>
          <w14:ligatures w14:val="standardContextual"/>
        </w:rPr>
      </w:pPr>
      <w:r>
        <w:rPr>
          <w:rFonts w:hint="eastAsia" w:ascii="Times New Roman" w:hAnsi="Times New Roman" w:eastAsia="宋体" w:cs="Times New Roman"/>
          <w:spacing w:val="-2"/>
          <w:sz w:val="24"/>
          <w:szCs w:val="21"/>
          <w14:ligatures w14:val="standardContextual"/>
        </w:rPr>
        <w:t>3、项目监理。需选择具有监理营业范围的公司。</w:t>
      </w:r>
    </w:p>
    <w:p w14:paraId="6536D55D">
      <w:pPr>
        <w:pStyle w:val="3"/>
        <w:spacing w:before="0" w:after="0" w:line="360" w:lineRule="auto"/>
        <w:rPr>
          <w:rFonts w:hint="eastAsia" w:ascii="宋体" w:hAnsi="宋体" w:eastAsia="宋体"/>
          <w:sz w:val="28"/>
          <w:szCs w:val="28"/>
        </w:rPr>
      </w:pPr>
      <w:bookmarkStart w:id="431" w:name="_Toc25533"/>
      <w:bookmarkStart w:id="432" w:name="_Toc14263"/>
      <w:bookmarkStart w:id="433" w:name="_Toc175233409"/>
      <w:r>
        <w:rPr>
          <w:rFonts w:hint="eastAsia" w:ascii="宋体" w:hAnsi="宋体" w:eastAsia="宋体"/>
          <w:sz w:val="28"/>
          <w:szCs w:val="28"/>
        </w:rPr>
        <w:t>招标组织形式</w:t>
      </w:r>
      <w:bookmarkEnd w:id="431"/>
      <w:bookmarkEnd w:id="432"/>
      <w:bookmarkEnd w:id="433"/>
    </w:p>
    <w:p w14:paraId="03A44F45">
      <w:pPr>
        <w:pStyle w:val="45"/>
        <w:spacing w:line="500" w:lineRule="exact"/>
        <w:ind w:firstLine="472" w:firstLineChars="200"/>
        <w:rPr>
          <w:rFonts w:ascii="Times New Roman" w:hAnsi="Times New Roman" w:eastAsia="宋体" w:cs="Times New Roman"/>
          <w:spacing w:val="-2"/>
          <w:sz w:val="24"/>
          <w:szCs w:val="21"/>
          <w14:ligatures w14:val="standardContextual"/>
        </w:rPr>
      </w:pPr>
      <w:r>
        <w:rPr>
          <w:rFonts w:hint="eastAsia" w:ascii="Times New Roman" w:hAnsi="Times New Roman" w:eastAsia="宋体" w:cs="Times New Roman"/>
          <w:spacing w:val="-2"/>
          <w:sz w:val="24"/>
          <w:szCs w:val="21"/>
          <w14:ligatures w14:val="standardContextual"/>
        </w:rPr>
        <w:t>实施方案编制、项目监理采用其他采购方式。设备及软件购置采用公开招标方式。</w:t>
      </w:r>
    </w:p>
    <w:p w14:paraId="5181AE8E">
      <w:pPr>
        <w:pStyle w:val="3"/>
        <w:spacing w:before="0" w:after="0" w:line="360" w:lineRule="auto"/>
        <w:rPr>
          <w:rFonts w:ascii="Times New Roman" w:hAnsi="Times New Roman" w:eastAsia="宋体" w:cs="Times New Roman"/>
          <w:spacing w:val="-2"/>
          <w:sz w:val="24"/>
          <w:szCs w:val="21"/>
          <w14:ligatures w14:val="standardContextual"/>
        </w:rPr>
      </w:pPr>
      <w:bookmarkStart w:id="434" w:name="_Toc8414"/>
      <w:bookmarkStart w:id="435" w:name="_Toc24101"/>
      <w:bookmarkStart w:id="436" w:name="_Toc175233410"/>
      <w:r>
        <w:rPr>
          <w:rFonts w:hint="eastAsia" w:ascii="Times New Roman" w:hAnsi="Times New Roman" w:eastAsia="宋体" w:cs="Times New Roman"/>
          <w:spacing w:val="-2"/>
          <w:sz w:val="24"/>
          <w:szCs w:val="21"/>
          <w14:ligatures w14:val="standardContextual"/>
        </w:rPr>
        <w:t>招标方式</w:t>
      </w:r>
      <w:bookmarkEnd w:id="434"/>
      <w:bookmarkEnd w:id="435"/>
      <w:bookmarkEnd w:id="436"/>
    </w:p>
    <w:p w14:paraId="77126908">
      <w:pPr>
        <w:pStyle w:val="45"/>
        <w:spacing w:line="500" w:lineRule="exact"/>
        <w:ind w:firstLine="472" w:firstLineChars="200"/>
        <w:rPr>
          <w:rFonts w:ascii="Times New Roman" w:hAnsi="Times New Roman" w:eastAsia="宋体" w:cs="Times New Roman"/>
          <w:spacing w:val="-2"/>
          <w:sz w:val="24"/>
          <w:szCs w:val="21"/>
          <w14:ligatures w14:val="standardContextual"/>
        </w:rPr>
      </w:pPr>
      <w:r>
        <w:rPr>
          <w:rFonts w:hint="eastAsia" w:ascii="Times New Roman" w:hAnsi="Times New Roman" w:eastAsia="宋体" w:cs="Times New Roman"/>
          <w:spacing w:val="-2"/>
          <w:sz w:val="24"/>
          <w:szCs w:val="21"/>
          <w14:ligatures w14:val="standardContextual"/>
        </w:rPr>
        <w:t>具体如下表所示：</w:t>
      </w:r>
      <w:bookmarkStart w:id="437" w:name="_Toc333568563"/>
      <w:bookmarkStart w:id="438" w:name="_Toc237152178"/>
      <w:bookmarkStart w:id="439" w:name="_Toc288718433"/>
    </w:p>
    <w:bookmarkEnd w:id="437"/>
    <w:bookmarkEnd w:id="438"/>
    <w:bookmarkEnd w:id="439"/>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0"/>
        <w:gridCol w:w="612"/>
        <w:gridCol w:w="675"/>
        <w:gridCol w:w="645"/>
        <w:gridCol w:w="569"/>
        <w:gridCol w:w="635"/>
        <w:gridCol w:w="697"/>
        <w:gridCol w:w="551"/>
        <w:gridCol w:w="692"/>
        <w:gridCol w:w="529"/>
        <w:gridCol w:w="655"/>
        <w:gridCol w:w="801"/>
      </w:tblGrid>
      <w:tr w14:paraId="043F1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330" w:type="dxa"/>
            <w:vMerge w:val="restart"/>
            <w:shd w:val="clear" w:color="auto" w:fill="BEBEBE" w:themeFill="background1" w:themeFillShade="BF"/>
            <w:noWrap/>
            <w:vAlign w:val="center"/>
          </w:tcPr>
          <w:p w14:paraId="185443E1">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招标内容</w:t>
            </w:r>
          </w:p>
        </w:tc>
        <w:tc>
          <w:tcPr>
            <w:tcW w:w="1287" w:type="dxa"/>
            <w:gridSpan w:val="2"/>
            <w:shd w:val="clear" w:color="auto" w:fill="BEBEBE" w:themeFill="background1" w:themeFillShade="BF"/>
            <w:noWrap/>
            <w:vAlign w:val="center"/>
          </w:tcPr>
          <w:p w14:paraId="73BCDED5">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招标范围</w:t>
            </w:r>
          </w:p>
        </w:tc>
        <w:tc>
          <w:tcPr>
            <w:tcW w:w="1214" w:type="dxa"/>
            <w:gridSpan w:val="2"/>
            <w:shd w:val="clear" w:color="auto" w:fill="BEBEBE" w:themeFill="background1" w:themeFillShade="BF"/>
            <w:noWrap/>
            <w:vAlign w:val="center"/>
          </w:tcPr>
          <w:p w14:paraId="2FBD9840">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招标组织</w:t>
            </w:r>
          </w:p>
          <w:p w14:paraId="1786A74B">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形式</w:t>
            </w:r>
          </w:p>
        </w:tc>
        <w:tc>
          <w:tcPr>
            <w:tcW w:w="1332" w:type="dxa"/>
            <w:gridSpan w:val="2"/>
            <w:shd w:val="clear" w:color="auto" w:fill="BEBEBE" w:themeFill="background1" w:themeFillShade="BF"/>
            <w:noWrap/>
            <w:vAlign w:val="center"/>
          </w:tcPr>
          <w:p w14:paraId="23CCAC22">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招标方式</w:t>
            </w:r>
          </w:p>
        </w:tc>
        <w:tc>
          <w:tcPr>
            <w:tcW w:w="2427" w:type="dxa"/>
            <w:gridSpan w:val="4"/>
            <w:shd w:val="clear" w:color="auto" w:fill="BEBEBE" w:themeFill="background1" w:themeFillShade="BF"/>
            <w:noWrap/>
            <w:vAlign w:val="center"/>
          </w:tcPr>
          <w:p w14:paraId="7DF45D8E">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其他采购</w:t>
            </w:r>
          </w:p>
          <w:p w14:paraId="22B5FC2F">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方式</w:t>
            </w:r>
          </w:p>
        </w:tc>
        <w:tc>
          <w:tcPr>
            <w:tcW w:w="801" w:type="dxa"/>
            <w:vMerge w:val="restart"/>
            <w:shd w:val="clear" w:color="auto" w:fill="BEBEBE" w:themeFill="background1" w:themeFillShade="BF"/>
            <w:noWrap/>
            <w:vAlign w:val="center"/>
          </w:tcPr>
          <w:p w14:paraId="3A986A9F">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备注</w:t>
            </w:r>
          </w:p>
        </w:tc>
      </w:tr>
      <w:tr w14:paraId="323C4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330" w:type="dxa"/>
            <w:vMerge w:val="continue"/>
            <w:shd w:val="clear" w:color="auto" w:fill="BEBEBE" w:themeFill="background1" w:themeFillShade="BF"/>
            <w:vAlign w:val="center"/>
          </w:tcPr>
          <w:p w14:paraId="045D37CA">
            <w:pPr>
              <w:widowControl/>
              <w:adjustRightInd w:val="0"/>
              <w:snapToGrid w:val="0"/>
              <w:jc w:val="center"/>
              <w:rPr>
                <w:rFonts w:ascii="Times New Roman" w:hAnsi="Times New Roman" w:eastAsia="宋体" w:cs="Times New Roman"/>
                <w:spacing w:val="-2"/>
                <w:sz w:val="20"/>
                <w:szCs w:val="20"/>
                <w14:ligatures w14:val="standardContextual"/>
              </w:rPr>
            </w:pPr>
          </w:p>
        </w:tc>
        <w:tc>
          <w:tcPr>
            <w:tcW w:w="612" w:type="dxa"/>
            <w:shd w:val="clear" w:color="auto" w:fill="BEBEBE" w:themeFill="background1" w:themeFillShade="BF"/>
            <w:noWrap/>
            <w:vAlign w:val="center"/>
          </w:tcPr>
          <w:p w14:paraId="0731EF24">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全部</w:t>
            </w:r>
          </w:p>
          <w:p w14:paraId="21AFF8BE">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招标</w:t>
            </w:r>
          </w:p>
        </w:tc>
        <w:tc>
          <w:tcPr>
            <w:tcW w:w="675" w:type="dxa"/>
            <w:shd w:val="clear" w:color="auto" w:fill="BEBEBE" w:themeFill="background1" w:themeFillShade="BF"/>
            <w:noWrap/>
            <w:vAlign w:val="center"/>
          </w:tcPr>
          <w:p w14:paraId="76E6617E">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部分</w:t>
            </w:r>
          </w:p>
          <w:p w14:paraId="7F37221F">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招标</w:t>
            </w:r>
          </w:p>
        </w:tc>
        <w:tc>
          <w:tcPr>
            <w:tcW w:w="645" w:type="dxa"/>
            <w:shd w:val="clear" w:color="auto" w:fill="BEBEBE" w:themeFill="background1" w:themeFillShade="BF"/>
            <w:noWrap/>
            <w:vAlign w:val="center"/>
          </w:tcPr>
          <w:p w14:paraId="0124E924">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自行</w:t>
            </w:r>
          </w:p>
          <w:p w14:paraId="0010B085">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招标</w:t>
            </w:r>
          </w:p>
        </w:tc>
        <w:tc>
          <w:tcPr>
            <w:tcW w:w="569" w:type="dxa"/>
            <w:shd w:val="clear" w:color="auto" w:fill="BEBEBE" w:themeFill="background1" w:themeFillShade="BF"/>
            <w:noWrap/>
            <w:vAlign w:val="center"/>
          </w:tcPr>
          <w:p w14:paraId="1B5098C4">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委托</w:t>
            </w:r>
          </w:p>
          <w:p w14:paraId="7E0149E3">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招标</w:t>
            </w:r>
          </w:p>
        </w:tc>
        <w:tc>
          <w:tcPr>
            <w:tcW w:w="635" w:type="dxa"/>
            <w:shd w:val="clear" w:color="auto" w:fill="BEBEBE" w:themeFill="background1" w:themeFillShade="BF"/>
            <w:noWrap/>
            <w:vAlign w:val="center"/>
          </w:tcPr>
          <w:p w14:paraId="127C836A">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公开</w:t>
            </w:r>
          </w:p>
          <w:p w14:paraId="4DCA31A1">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招标</w:t>
            </w:r>
          </w:p>
        </w:tc>
        <w:tc>
          <w:tcPr>
            <w:tcW w:w="697" w:type="dxa"/>
            <w:shd w:val="clear" w:color="auto" w:fill="BEBEBE" w:themeFill="background1" w:themeFillShade="BF"/>
            <w:noWrap/>
            <w:vAlign w:val="center"/>
          </w:tcPr>
          <w:p w14:paraId="60DEC933">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邀请</w:t>
            </w:r>
          </w:p>
          <w:p w14:paraId="5DD98FF4">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招标</w:t>
            </w:r>
          </w:p>
        </w:tc>
        <w:tc>
          <w:tcPr>
            <w:tcW w:w="551" w:type="dxa"/>
            <w:shd w:val="clear" w:color="auto" w:fill="BEBEBE" w:themeFill="background1" w:themeFillShade="BF"/>
            <w:vAlign w:val="center"/>
          </w:tcPr>
          <w:p w14:paraId="7E746917">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询价</w:t>
            </w:r>
          </w:p>
          <w:p w14:paraId="52F0954F">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采购</w:t>
            </w:r>
          </w:p>
        </w:tc>
        <w:tc>
          <w:tcPr>
            <w:tcW w:w="692" w:type="dxa"/>
            <w:shd w:val="clear" w:color="auto" w:fill="BEBEBE" w:themeFill="background1" w:themeFillShade="BF"/>
            <w:vAlign w:val="center"/>
          </w:tcPr>
          <w:p w14:paraId="729CDE93">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竞争性磋商</w:t>
            </w:r>
          </w:p>
        </w:tc>
        <w:tc>
          <w:tcPr>
            <w:tcW w:w="529" w:type="dxa"/>
            <w:shd w:val="clear" w:color="auto" w:fill="BEBEBE" w:themeFill="background1" w:themeFillShade="BF"/>
            <w:vAlign w:val="center"/>
          </w:tcPr>
          <w:p w14:paraId="0713964E">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单一来源</w:t>
            </w:r>
          </w:p>
        </w:tc>
        <w:tc>
          <w:tcPr>
            <w:tcW w:w="655" w:type="dxa"/>
            <w:shd w:val="clear" w:color="auto" w:fill="BEBEBE" w:themeFill="background1" w:themeFillShade="BF"/>
            <w:vAlign w:val="center"/>
          </w:tcPr>
          <w:p w14:paraId="1579ED34">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竞争性谈判</w:t>
            </w:r>
          </w:p>
        </w:tc>
        <w:tc>
          <w:tcPr>
            <w:tcW w:w="801" w:type="dxa"/>
            <w:vMerge w:val="continue"/>
            <w:shd w:val="clear" w:color="auto" w:fill="BEBEBE" w:themeFill="background1" w:themeFillShade="BF"/>
            <w:vAlign w:val="center"/>
          </w:tcPr>
          <w:p w14:paraId="018DA695">
            <w:pPr>
              <w:widowControl/>
              <w:adjustRightInd w:val="0"/>
              <w:snapToGrid w:val="0"/>
              <w:jc w:val="center"/>
              <w:rPr>
                <w:rFonts w:ascii="Times New Roman" w:hAnsi="Times New Roman" w:eastAsia="宋体" w:cs="Times New Roman"/>
                <w:spacing w:val="-2"/>
                <w:sz w:val="20"/>
                <w:szCs w:val="20"/>
                <w14:ligatures w14:val="standardContextual"/>
              </w:rPr>
            </w:pPr>
          </w:p>
        </w:tc>
      </w:tr>
      <w:tr w14:paraId="74B48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0" w:type="dxa"/>
            <w:noWrap/>
            <w:vAlign w:val="center"/>
          </w:tcPr>
          <w:p w14:paraId="4DB8C37C">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实施方案编制</w:t>
            </w:r>
          </w:p>
        </w:tc>
        <w:tc>
          <w:tcPr>
            <w:tcW w:w="612" w:type="dxa"/>
            <w:noWrap/>
            <w:vAlign w:val="center"/>
          </w:tcPr>
          <w:p w14:paraId="44304519">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w:t>
            </w:r>
          </w:p>
        </w:tc>
        <w:tc>
          <w:tcPr>
            <w:tcW w:w="675" w:type="dxa"/>
            <w:noWrap/>
            <w:vAlign w:val="center"/>
          </w:tcPr>
          <w:p w14:paraId="0AD7B889">
            <w:pPr>
              <w:widowControl/>
              <w:adjustRightInd w:val="0"/>
              <w:snapToGrid w:val="0"/>
              <w:jc w:val="center"/>
              <w:rPr>
                <w:rFonts w:ascii="Times New Roman" w:hAnsi="Times New Roman" w:eastAsia="宋体" w:cs="Times New Roman"/>
                <w:spacing w:val="-2"/>
                <w:sz w:val="20"/>
                <w:szCs w:val="20"/>
                <w14:ligatures w14:val="standardContextual"/>
              </w:rPr>
            </w:pPr>
          </w:p>
        </w:tc>
        <w:tc>
          <w:tcPr>
            <w:tcW w:w="645" w:type="dxa"/>
            <w:noWrap/>
            <w:vAlign w:val="center"/>
          </w:tcPr>
          <w:p w14:paraId="10CF1B31">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w:t>
            </w:r>
          </w:p>
        </w:tc>
        <w:tc>
          <w:tcPr>
            <w:tcW w:w="569" w:type="dxa"/>
            <w:noWrap/>
            <w:vAlign w:val="center"/>
          </w:tcPr>
          <w:p w14:paraId="7452DBD9">
            <w:pPr>
              <w:widowControl/>
              <w:adjustRightInd w:val="0"/>
              <w:snapToGrid w:val="0"/>
              <w:jc w:val="center"/>
              <w:rPr>
                <w:rFonts w:ascii="Times New Roman" w:hAnsi="Times New Roman" w:eastAsia="宋体" w:cs="Times New Roman"/>
                <w:spacing w:val="-2"/>
                <w:sz w:val="20"/>
                <w:szCs w:val="20"/>
                <w14:ligatures w14:val="standardContextual"/>
              </w:rPr>
            </w:pPr>
          </w:p>
        </w:tc>
        <w:tc>
          <w:tcPr>
            <w:tcW w:w="635" w:type="dxa"/>
            <w:noWrap/>
            <w:vAlign w:val="center"/>
          </w:tcPr>
          <w:p w14:paraId="29C904C0">
            <w:pPr>
              <w:widowControl/>
              <w:adjustRightInd w:val="0"/>
              <w:snapToGrid w:val="0"/>
              <w:jc w:val="center"/>
              <w:rPr>
                <w:rFonts w:ascii="Times New Roman" w:hAnsi="Times New Roman" w:eastAsia="宋体" w:cs="Times New Roman"/>
                <w:spacing w:val="-2"/>
                <w:sz w:val="20"/>
                <w:szCs w:val="20"/>
                <w14:ligatures w14:val="standardContextual"/>
              </w:rPr>
            </w:pPr>
          </w:p>
        </w:tc>
        <w:tc>
          <w:tcPr>
            <w:tcW w:w="697" w:type="dxa"/>
            <w:noWrap/>
            <w:vAlign w:val="center"/>
          </w:tcPr>
          <w:p w14:paraId="1FC80967">
            <w:pPr>
              <w:widowControl/>
              <w:adjustRightInd w:val="0"/>
              <w:snapToGrid w:val="0"/>
              <w:jc w:val="center"/>
              <w:rPr>
                <w:rFonts w:ascii="Times New Roman" w:hAnsi="Times New Roman" w:eastAsia="宋体" w:cs="Times New Roman"/>
                <w:spacing w:val="-2"/>
                <w:sz w:val="20"/>
                <w:szCs w:val="20"/>
                <w14:ligatures w14:val="standardContextual"/>
              </w:rPr>
            </w:pPr>
          </w:p>
        </w:tc>
        <w:tc>
          <w:tcPr>
            <w:tcW w:w="551" w:type="dxa"/>
            <w:noWrap/>
            <w:vAlign w:val="center"/>
          </w:tcPr>
          <w:p w14:paraId="581D6B1D">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w:t>
            </w:r>
          </w:p>
        </w:tc>
        <w:tc>
          <w:tcPr>
            <w:tcW w:w="692" w:type="dxa"/>
            <w:noWrap/>
            <w:vAlign w:val="center"/>
          </w:tcPr>
          <w:p w14:paraId="7BA3284D">
            <w:pPr>
              <w:widowControl/>
              <w:adjustRightInd w:val="0"/>
              <w:snapToGrid w:val="0"/>
              <w:jc w:val="center"/>
              <w:rPr>
                <w:rFonts w:ascii="Times New Roman" w:hAnsi="Times New Roman" w:eastAsia="宋体" w:cs="Times New Roman"/>
                <w:spacing w:val="-2"/>
                <w:sz w:val="20"/>
                <w:szCs w:val="20"/>
                <w14:ligatures w14:val="standardContextual"/>
              </w:rPr>
            </w:pPr>
          </w:p>
        </w:tc>
        <w:tc>
          <w:tcPr>
            <w:tcW w:w="529" w:type="dxa"/>
            <w:noWrap/>
            <w:vAlign w:val="center"/>
          </w:tcPr>
          <w:p w14:paraId="3D4DF9F9">
            <w:pPr>
              <w:widowControl/>
              <w:adjustRightInd w:val="0"/>
              <w:snapToGrid w:val="0"/>
              <w:jc w:val="center"/>
              <w:rPr>
                <w:rFonts w:ascii="Times New Roman" w:hAnsi="Times New Roman" w:eastAsia="宋体" w:cs="Times New Roman"/>
                <w:spacing w:val="-2"/>
                <w:sz w:val="20"/>
                <w:szCs w:val="20"/>
                <w14:ligatures w14:val="standardContextual"/>
              </w:rPr>
            </w:pPr>
          </w:p>
        </w:tc>
        <w:tc>
          <w:tcPr>
            <w:tcW w:w="655" w:type="dxa"/>
            <w:noWrap/>
            <w:vAlign w:val="center"/>
          </w:tcPr>
          <w:p w14:paraId="737BA3CA">
            <w:pPr>
              <w:widowControl/>
              <w:adjustRightInd w:val="0"/>
              <w:snapToGrid w:val="0"/>
              <w:jc w:val="center"/>
              <w:rPr>
                <w:rFonts w:ascii="Times New Roman" w:hAnsi="Times New Roman" w:eastAsia="宋体" w:cs="Times New Roman"/>
                <w:spacing w:val="-2"/>
                <w:sz w:val="20"/>
                <w:szCs w:val="20"/>
                <w14:ligatures w14:val="standardContextual"/>
              </w:rPr>
            </w:pPr>
          </w:p>
        </w:tc>
        <w:tc>
          <w:tcPr>
            <w:tcW w:w="801" w:type="dxa"/>
            <w:noWrap/>
            <w:vAlign w:val="center"/>
          </w:tcPr>
          <w:p w14:paraId="69477085">
            <w:pPr>
              <w:widowControl/>
              <w:adjustRightInd w:val="0"/>
              <w:snapToGrid w:val="0"/>
              <w:jc w:val="center"/>
              <w:rPr>
                <w:rFonts w:ascii="Times New Roman" w:hAnsi="Times New Roman" w:eastAsia="宋体" w:cs="Times New Roman"/>
                <w:spacing w:val="-2"/>
                <w:sz w:val="20"/>
                <w:szCs w:val="20"/>
                <w14:ligatures w14:val="standardContextual"/>
              </w:rPr>
            </w:pPr>
          </w:p>
        </w:tc>
      </w:tr>
      <w:tr w14:paraId="76247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0" w:type="dxa"/>
            <w:noWrap/>
            <w:vAlign w:val="center"/>
          </w:tcPr>
          <w:p w14:paraId="4D9743FE">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设备及软件购置</w:t>
            </w:r>
          </w:p>
        </w:tc>
        <w:tc>
          <w:tcPr>
            <w:tcW w:w="612" w:type="dxa"/>
            <w:noWrap/>
            <w:vAlign w:val="center"/>
          </w:tcPr>
          <w:p w14:paraId="3F183DD1">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w:t>
            </w:r>
          </w:p>
        </w:tc>
        <w:tc>
          <w:tcPr>
            <w:tcW w:w="675" w:type="dxa"/>
            <w:noWrap/>
            <w:vAlign w:val="center"/>
          </w:tcPr>
          <w:p w14:paraId="20084CE6">
            <w:pPr>
              <w:widowControl/>
              <w:adjustRightInd w:val="0"/>
              <w:snapToGrid w:val="0"/>
              <w:jc w:val="center"/>
              <w:rPr>
                <w:rFonts w:ascii="Times New Roman" w:hAnsi="Times New Roman" w:eastAsia="宋体" w:cs="Times New Roman"/>
                <w:spacing w:val="-2"/>
                <w:sz w:val="20"/>
                <w:szCs w:val="20"/>
                <w14:ligatures w14:val="standardContextual"/>
              </w:rPr>
            </w:pPr>
          </w:p>
        </w:tc>
        <w:tc>
          <w:tcPr>
            <w:tcW w:w="645" w:type="dxa"/>
            <w:noWrap/>
            <w:vAlign w:val="center"/>
          </w:tcPr>
          <w:p w14:paraId="797AE273">
            <w:pPr>
              <w:widowControl/>
              <w:adjustRightInd w:val="0"/>
              <w:snapToGrid w:val="0"/>
              <w:jc w:val="center"/>
              <w:rPr>
                <w:rFonts w:ascii="Times New Roman" w:hAnsi="Times New Roman" w:eastAsia="宋体" w:cs="Times New Roman"/>
                <w:spacing w:val="-2"/>
                <w:sz w:val="20"/>
                <w:szCs w:val="20"/>
                <w14:ligatures w14:val="standardContextual"/>
              </w:rPr>
            </w:pPr>
          </w:p>
        </w:tc>
        <w:tc>
          <w:tcPr>
            <w:tcW w:w="569" w:type="dxa"/>
            <w:noWrap/>
            <w:vAlign w:val="center"/>
          </w:tcPr>
          <w:p w14:paraId="7A4E603E">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w:t>
            </w:r>
          </w:p>
        </w:tc>
        <w:tc>
          <w:tcPr>
            <w:tcW w:w="635" w:type="dxa"/>
            <w:noWrap/>
            <w:vAlign w:val="center"/>
          </w:tcPr>
          <w:p w14:paraId="2BCF1E24">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w:t>
            </w:r>
          </w:p>
        </w:tc>
        <w:tc>
          <w:tcPr>
            <w:tcW w:w="697" w:type="dxa"/>
            <w:noWrap/>
            <w:vAlign w:val="center"/>
          </w:tcPr>
          <w:p w14:paraId="43C4090B">
            <w:pPr>
              <w:widowControl/>
              <w:adjustRightInd w:val="0"/>
              <w:snapToGrid w:val="0"/>
              <w:jc w:val="center"/>
              <w:rPr>
                <w:rFonts w:ascii="Times New Roman" w:hAnsi="Times New Roman" w:eastAsia="宋体" w:cs="Times New Roman"/>
                <w:spacing w:val="-2"/>
                <w:sz w:val="20"/>
                <w:szCs w:val="20"/>
                <w14:ligatures w14:val="standardContextual"/>
              </w:rPr>
            </w:pPr>
          </w:p>
          <w:p w14:paraId="529BCD27">
            <w:pPr>
              <w:widowControl/>
              <w:adjustRightInd w:val="0"/>
              <w:snapToGrid w:val="0"/>
              <w:jc w:val="center"/>
              <w:rPr>
                <w:rFonts w:ascii="Times New Roman" w:hAnsi="Times New Roman" w:eastAsia="宋体" w:cs="Times New Roman"/>
                <w:spacing w:val="-2"/>
                <w:sz w:val="20"/>
                <w:szCs w:val="20"/>
                <w14:ligatures w14:val="standardContextual"/>
              </w:rPr>
            </w:pPr>
          </w:p>
        </w:tc>
        <w:tc>
          <w:tcPr>
            <w:tcW w:w="551" w:type="dxa"/>
            <w:noWrap/>
            <w:vAlign w:val="center"/>
          </w:tcPr>
          <w:p w14:paraId="3E1A290F">
            <w:pPr>
              <w:widowControl/>
              <w:adjustRightInd w:val="0"/>
              <w:snapToGrid w:val="0"/>
              <w:jc w:val="center"/>
              <w:rPr>
                <w:rFonts w:ascii="Times New Roman" w:hAnsi="Times New Roman" w:eastAsia="宋体" w:cs="Times New Roman"/>
                <w:spacing w:val="-2"/>
                <w:sz w:val="20"/>
                <w:szCs w:val="20"/>
                <w14:ligatures w14:val="standardContextual"/>
              </w:rPr>
            </w:pPr>
          </w:p>
        </w:tc>
        <w:tc>
          <w:tcPr>
            <w:tcW w:w="692" w:type="dxa"/>
            <w:noWrap/>
            <w:vAlign w:val="center"/>
          </w:tcPr>
          <w:p w14:paraId="0CA600C4">
            <w:pPr>
              <w:widowControl/>
              <w:adjustRightInd w:val="0"/>
              <w:snapToGrid w:val="0"/>
              <w:jc w:val="center"/>
              <w:rPr>
                <w:rFonts w:ascii="Times New Roman" w:hAnsi="Times New Roman" w:eastAsia="宋体" w:cs="Times New Roman"/>
                <w:spacing w:val="-2"/>
                <w:sz w:val="20"/>
                <w:szCs w:val="20"/>
                <w14:ligatures w14:val="standardContextual"/>
              </w:rPr>
            </w:pPr>
          </w:p>
        </w:tc>
        <w:tc>
          <w:tcPr>
            <w:tcW w:w="529" w:type="dxa"/>
            <w:noWrap/>
            <w:vAlign w:val="center"/>
          </w:tcPr>
          <w:p w14:paraId="57780A49">
            <w:pPr>
              <w:widowControl/>
              <w:adjustRightInd w:val="0"/>
              <w:snapToGrid w:val="0"/>
              <w:jc w:val="center"/>
              <w:rPr>
                <w:rFonts w:ascii="Times New Roman" w:hAnsi="Times New Roman" w:eastAsia="宋体" w:cs="Times New Roman"/>
                <w:spacing w:val="-2"/>
                <w:sz w:val="20"/>
                <w:szCs w:val="20"/>
                <w14:ligatures w14:val="standardContextual"/>
              </w:rPr>
            </w:pPr>
          </w:p>
        </w:tc>
        <w:tc>
          <w:tcPr>
            <w:tcW w:w="655" w:type="dxa"/>
            <w:noWrap/>
            <w:vAlign w:val="center"/>
          </w:tcPr>
          <w:p w14:paraId="332F7D5E">
            <w:pPr>
              <w:widowControl/>
              <w:adjustRightInd w:val="0"/>
              <w:snapToGrid w:val="0"/>
              <w:jc w:val="center"/>
              <w:rPr>
                <w:rFonts w:ascii="Times New Roman" w:hAnsi="Times New Roman" w:eastAsia="宋体" w:cs="Times New Roman"/>
                <w:spacing w:val="-2"/>
                <w:sz w:val="20"/>
                <w:szCs w:val="20"/>
                <w14:ligatures w14:val="standardContextual"/>
              </w:rPr>
            </w:pPr>
          </w:p>
        </w:tc>
        <w:tc>
          <w:tcPr>
            <w:tcW w:w="801" w:type="dxa"/>
            <w:noWrap/>
            <w:vAlign w:val="center"/>
          </w:tcPr>
          <w:p w14:paraId="3FE959BD">
            <w:pPr>
              <w:widowControl/>
              <w:adjustRightInd w:val="0"/>
              <w:snapToGrid w:val="0"/>
              <w:jc w:val="center"/>
              <w:rPr>
                <w:rFonts w:ascii="Times New Roman" w:hAnsi="Times New Roman" w:eastAsia="宋体" w:cs="Times New Roman"/>
                <w:spacing w:val="-2"/>
                <w:sz w:val="20"/>
                <w:szCs w:val="20"/>
                <w14:ligatures w14:val="standardContextual"/>
              </w:rPr>
            </w:pPr>
          </w:p>
        </w:tc>
      </w:tr>
      <w:tr w14:paraId="51830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0" w:type="dxa"/>
            <w:noWrap/>
            <w:vAlign w:val="center"/>
          </w:tcPr>
          <w:p w14:paraId="6F41576C">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项目监理</w:t>
            </w:r>
          </w:p>
        </w:tc>
        <w:tc>
          <w:tcPr>
            <w:tcW w:w="612" w:type="dxa"/>
            <w:noWrap/>
            <w:vAlign w:val="center"/>
          </w:tcPr>
          <w:p w14:paraId="38C3C2A5">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w:t>
            </w:r>
          </w:p>
        </w:tc>
        <w:tc>
          <w:tcPr>
            <w:tcW w:w="675" w:type="dxa"/>
            <w:noWrap/>
            <w:vAlign w:val="center"/>
          </w:tcPr>
          <w:p w14:paraId="490F09E2">
            <w:pPr>
              <w:widowControl/>
              <w:adjustRightInd w:val="0"/>
              <w:snapToGrid w:val="0"/>
              <w:jc w:val="center"/>
              <w:rPr>
                <w:rFonts w:ascii="Times New Roman" w:hAnsi="Times New Roman" w:eastAsia="宋体" w:cs="Times New Roman"/>
                <w:spacing w:val="-2"/>
                <w:sz w:val="20"/>
                <w:szCs w:val="20"/>
                <w14:ligatures w14:val="standardContextual"/>
              </w:rPr>
            </w:pPr>
          </w:p>
        </w:tc>
        <w:tc>
          <w:tcPr>
            <w:tcW w:w="645" w:type="dxa"/>
            <w:noWrap/>
            <w:vAlign w:val="center"/>
          </w:tcPr>
          <w:p w14:paraId="60FB0A0D">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w:t>
            </w:r>
          </w:p>
        </w:tc>
        <w:tc>
          <w:tcPr>
            <w:tcW w:w="569" w:type="dxa"/>
            <w:noWrap/>
            <w:vAlign w:val="center"/>
          </w:tcPr>
          <w:p w14:paraId="19BD8498">
            <w:pPr>
              <w:widowControl/>
              <w:adjustRightInd w:val="0"/>
              <w:snapToGrid w:val="0"/>
              <w:jc w:val="center"/>
              <w:rPr>
                <w:rFonts w:ascii="Times New Roman" w:hAnsi="Times New Roman" w:eastAsia="宋体" w:cs="Times New Roman"/>
                <w:spacing w:val="-2"/>
                <w:sz w:val="20"/>
                <w:szCs w:val="20"/>
                <w14:ligatures w14:val="standardContextual"/>
              </w:rPr>
            </w:pPr>
          </w:p>
        </w:tc>
        <w:tc>
          <w:tcPr>
            <w:tcW w:w="635" w:type="dxa"/>
            <w:noWrap/>
            <w:vAlign w:val="center"/>
          </w:tcPr>
          <w:p w14:paraId="169475F7">
            <w:pPr>
              <w:widowControl/>
              <w:adjustRightInd w:val="0"/>
              <w:snapToGrid w:val="0"/>
              <w:jc w:val="center"/>
              <w:rPr>
                <w:rFonts w:ascii="Times New Roman" w:hAnsi="Times New Roman" w:eastAsia="宋体" w:cs="Times New Roman"/>
                <w:spacing w:val="-2"/>
                <w:sz w:val="20"/>
                <w:szCs w:val="20"/>
                <w14:ligatures w14:val="standardContextual"/>
              </w:rPr>
            </w:pPr>
          </w:p>
        </w:tc>
        <w:tc>
          <w:tcPr>
            <w:tcW w:w="697" w:type="dxa"/>
            <w:noWrap/>
            <w:vAlign w:val="center"/>
          </w:tcPr>
          <w:p w14:paraId="587E47CA">
            <w:pPr>
              <w:widowControl/>
              <w:adjustRightInd w:val="0"/>
              <w:snapToGrid w:val="0"/>
              <w:jc w:val="center"/>
              <w:rPr>
                <w:rFonts w:ascii="Times New Roman" w:hAnsi="Times New Roman" w:eastAsia="宋体" w:cs="Times New Roman"/>
                <w:spacing w:val="-2"/>
                <w:sz w:val="20"/>
                <w:szCs w:val="20"/>
                <w14:ligatures w14:val="standardContextual"/>
              </w:rPr>
            </w:pPr>
          </w:p>
        </w:tc>
        <w:tc>
          <w:tcPr>
            <w:tcW w:w="551" w:type="dxa"/>
            <w:noWrap/>
            <w:vAlign w:val="center"/>
          </w:tcPr>
          <w:p w14:paraId="7F950006">
            <w:pPr>
              <w:widowControl/>
              <w:adjustRightInd w:val="0"/>
              <w:snapToGrid w:val="0"/>
              <w:jc w:val="center"/>
              <w:rPr>
                <w:rFonts w:ascii="Times New Roman" w:hAnsi="Times New Roman" w:eastAsia="宋体" w:cs="Times New Roman"/>
                <w:spacing w:val="-2"/>
                <w:sz w:val="20"/>
                <w:szCs w:val="20"/>
                <w14:ligatures w14:val="standardContextual"/>
              </w:rPr>
            </w:pPr>
            <w:r>
              <w:rPr>
                <w:rFonts w:hint="eastAsia" w:ascii="Times New Roman" w:hAnsi="Times New Roman" w:eastAsia="宋体" w:cs="Times New Roman"/>
                <w:spacing w:val="-2"/>
                <w:sz w:val="20"/>
                <w:szCs w:val="20"/>
                <w14:ligatures w14:val="standardContextual"/>
              </w:rPr>
              <w:t>√</w:t>
            </w:r>
          </w:p>
        </w:tc>
        <w:tc>
          <w:tcPr>
            <w:tcW w:w="692" w:type="dxa"/>
            <w:noWrap/>
            <w:vAlign w:val="center"/>
          </w:tcPr>
          <w:p w14:paraId="122ED8C0">
            <w:pPr>
              <w:widowControl/>
              <w:adjustRightInd w:val="0"/>
              <w:snapToGrid w:val="0"/>
              <w:jc w:val="center"/>
              <w:rPr>
                <w:rFonts w:ascii="Times New Roman" w:hAnsi="Times New Roman" w:eastAsia="宋体" w:cs="Times New Roman"/>
                <w:spacing w:val="-2"/>
                <w:sz w:val="20"/>
                <w:szCs w:val="20"/>
                <w14:ligatures w14:val="standardContextual"/>
              </w:rPr>
            </w:pPr>
          </w:p>
        </w:tc>
        <w:tc>
          <w:tcPr>
            <w:tcW w:w="529" w:type="dxa"/>
            <w:noWrap/>
            <w:vAlign w:val="center"/>
          </w:tcPr>
          <w:p w14:paraId="2A3DE6E3">
            <w:pPr>
              <w:widowControl/>
              <w:adjustRightInd w:val="0"/>
              <w:snapToGrid w:val="0"/>
              <w:jc w:val="center"/>
              <w:rPr>
                <w:rFonts w:ascii="Times New Roman" w:hAnsi="Times New Roman" w:eastAsia="宋体" w:cs="Times New Roman"/>
                <w:spacing w:val="-2"/>
                <w:sz w:val="20"/>
                <w:szCs w:val="20"/>
                <w14:ligatures w14:val="standardContextual"/>
              </w:rPr>
            </w:pPr>
          </w:p>
        </w:tc>
        <w:tc>
          <w:tcPr>
            <w:tcW w:w="655" w:type="dxa"/>
            <w:noWrap/>
            <w:vAlign w:val="center"/>
          </w:tcPr>
          <w:p w14:paraId="23CF6197">
            <w:pPr>
              <w:widowControl/>
              <w:adjustRightInd w:val="0"/>
              <w:snapToGrid w:val="0"/>
              <w:jc w:val="center"/>
              <w:rPr>
                <w:rFonts w:ascii="Times New Roman" w:hAnsi="Times New Roman" w:eastAsia="宋体" w:cs="Times New Roman"/>
                <w:spacing w:val="-2"/>
                <w:sz w:val="20"/>
                <w:szCs w:val="20"/>
                <w14:ligatures w14:val="standardContextual"/>
              </w:rPr>
            </w:pPr>
          </w:p>
        </w:tc>
        <w:tc>
          <w:tcPr>
            <w:tcW w:w="801" w:type="dxa"/>
            <w:noWrap/>
            <w:vAlign w:val="center"/>
          </w:tcPr>
          <w:p w14:paraId="65DFB080">
            <w:pPr>
              <w:widowControl/>
              <w:adjustRightInd w:val="0"/>
              <w:snapToGrid w:val="0"/>
              <w:jc w:val="center"/>
              <w:rPr>
                <w:rFonts w:ascii="Times New Roman" w:hAnsi="Times New Roman" w:eastAsia="宋体" w:cs="Times New Roman"/>
                <w:spacing w:val="-2"/>
                <w:sz w:val="20"/>
                <w:szCs w:val="20"/>
                <w14:ligatures w14:val="standardContextual"/>
              </w:rPr>
            </w:pPr>
          </w:p>
        </w:tc>
      </w:tr>
    </w:tbl>
    <w:p w14:paraId="3A79A8F9">
      <w:pPr>
        <w:ind w:firstLine="560"/>
        <w:sectPr>
          <w:headerReference r:id="rId9" w:type="default"/>
          <w:pgSz w:w="11906" w:h="16838"/>
          <w:pgMar w:top="1418" w:right="1701" w:bottom="1418" w:left="1701" w:header="851" w:footer="850" w:gutter="0"/>
          <w:cols w:space="720" w:num="1"/>
          <w:docGrid w:type="lines" w:linePitch="381" w:charSpace="0"/>
        </w:sectPr>
      </w:pPr>
    </w:p>
    <w:p w14:paraId="1E26CE9D">
      <w:pPr>
        <w:pStyle w:val="2"/>
        <w:spacing w:before="120" w:after="120" w:line="360" w:lineRule="auto"/>
        <w:jc w:val="center"/>
      </w:pPr>
      <w:bookmarkStart w:id="440" w:name="_Toc175233411"/>
      <w:r>
        <w:rPr>
          <w:rFonts w:hint="eastAsia"/>
        </w:rPr>
        <w:t>项目建设对环境的影响</w:t>
      </w:r>
      <w:bookmarkEnd w:id="440"/>
    </w:p>
    <w:p w14:paraId="51D12198">
      <w:pPr>
        <w:pStyle w:val="57"/>
      </w:pPr>
      <w:r>
        <w:rPr>
          <w:rFonts w:hint="eastAsia"/>
        </w:rPr>
        <w:t xml:space="preserve">本项目无过量的弃土、弃渣、压占草场，无任何拆迁和大量的永久性占地，无废气、废渣、粉尘、废水等其它污染环境的物质排放，不会造成环境的不良影响。 </w:t>
      </w:r>
    </w:p>
    <w:p w14:paraId="5F02A5C6">
      <w:pPr>
        <w:pStyle w:val="57"/>
      </w:pPr>
      <w:r>
        <w:rPr>
          <w:rFonts w:hint="eastAsia"/>
        </w:rPr>
        <w:t>本项目在施工中极少涉及到揭草皮等破坏植被的情况，不会造成草原牧场的破坏。少量弃土通过局部整修，自然恢复，也不会造成水土流失。</w:t>
      </w:r>
    </w:p>
    <w:p w14:paraId="039E89CE">
      <w:pPr>
        <w:widowControl/>
        <w:jc w:val="left"/>
      </w:pPr>
      <w:r>
        <w:br w:type="page"/>
      </w:r>
    </w:p>
    <w:p w14:paraId="74195463">
      <w:pPr>
        <w:pStyle w:val="2"/>
        <w:spacing w:before="120" w:after="120" w:line="360" w:lineRule="auto"/>
        <w:jc w:val="center"/>
      </w:pPr>
      <w:bookmarkStart w:id="441" w:name="_Toc175233412"/>
      <w:r>
        <w:rPr>
          <w:rFonts w:hint="eastAsia"/>
        </w:rPr>
        <w:t>项目实施效益</w:t>
      </w:r>
      <w:bookmarkEnd w:id="441"/>
    </w:p>
    <w:p w14:paraId="0AC74EC8">
      <w:pPr>
        <w:pStyle w:val="57"/>
        <w:rPr>
          <w:rFonts w:hint="eastAsia" w:ascii="宋体" w:hAnsi="宋体"/>
        </w:rPr>
      </w:pPr>
      <w:r>
        <w:rPr>
          <w:rFonts w:hint="eastAsia" w:ascii="宋体" w:hAnsi="宋体"/>
        </w:rPr>
        <w:t>该项目实施后，在多巴拉沙片人畜饮水工程水源地安装1台不锈钢水质净化过滤器以提升该工程水质，受益人口8580人。</w:t>
      </w:r>
    </w:p>
    <w:p w14:paraId="1B260907">
      <w:pPr>
        <w:pStyle w:val="57"/>
        <w:rPr>
          <w:rFonts w:hint="eastAsia" w:ascii="宋体" w:hAnsi="宋体"/>
        </w:rPr>
      </w:pPr>
      <w:r>
        <w:rPr>
          <w:rFonts w:hint="eastAsia" w:ascii="宋体" w:hAnsi="宋体"/>
        </w:rPr>
        <w:t>在湟中区14处千吨万人水源地建设4G水质监测系统，对水质浑浊度提前监测预警监测、视频监控摄像和视频联动报警，使各水源地水质得到有效监测，从而保证供水工程的稳定运行和辖区居民的用水安全，受益人口191781人。</w:t>
      </w:r>
    </w:p>
    <w:p w14:paraId="1D351821">
      <w:pPr>
        <w:pStyle w:val="3"/>
        <w:spacing w:before="0" w:after="0" w:line="360" w:lineRule="auto"/>
        <w:rPr>
          <w:rFonts w:hint="eastAsia" w:ascii="宋体" w:hAnsi="宋体" w:eastAsia="宋体"/>
          <w:sz w:val="28"/>
          <w:szCs w:val="28"/>
        </w:rPr>
      </w:pPr>
      <w:bookmarkStart w:id="442" w:name="_Toc175233413"/>
      <w:r>
        <w:rPr>
          <w:rFonts w:hint="eastAsia" w:ascii="宋体" w:hAnsi="宋体" w:eastAsia="宋体"/>
          <w:sz w:val="28"/>
          <w:szCs w:val="28"/>
        </w:rPr>
        <w:t>社会效益</w:t>
      </w:r>
      <w:bookmarkEnd w:id="442"/>
    </w:p>
    <w:p w14:paraId="18EB6183">
      <w:pPr>
        <w:pStyle w:val="57"/>
        <w:rPr>
          <w:rFonts w:hint="eastAsia" w:ascii="宋体" w:hAnsi="宋体"/>
        </w:rPr>
      </w:pPr>
      <w:r>
        <w:rPr>
          <w:rFonts w:hint="eastAsia" w:ascii="宋体" w:hAnsi="宋体"/>
        </w:rPr>
        <w:t>农村人畜饮水净化配套工程是一项重要的农村基础设施建设内容，直接关系到当地牧业生产和农村经济的发展，社会稳定等诸多方面，其社会效益高于它所产生的经济效益。</w:t>
      </w:r>
    </w:p>
    <w:p w14:paraId="1908A8EC">
      <w:pPr>
        <w:pStyle w:val="57"/>
        <w:rPr>
          <w:rFonts w:hint="eastAsia" w:ascii="宋体" w:hAnsi="宋体"/>
        </w:rPr>
      </w:pPr>
      <w:r>
        <w:rPr>
          <w:rFonts w:hint="eastAsia"/>
        </w:rPr>
        <w:t>该</w:t>
      </w:r>
      <w:r>
        <w:rPr>
          <w:rFonts w:hint="eastAsia" w:ascii="宋体" w:hAnsi="宋体"/>
        </w:rPr>
        <w:t>项目实施后，水质净化的受益人口8580人，水质监测的受益人口191781人，可改善当地区村民的饮水卫生条件，减少疾病，并为当地的畜牧业生产创造良好的条件。可极大地改善受益区生态环境，带动整个区域经济、社会的发展，改善村民生活条件、增加农民收入、提高健康水平，振兴地区民族经济，加强民族团结，保持社会稳定等具有重要的意义。</w:t>
      </w:r>
    </w:p>
    <w:p w14:paraId="7C452066">
      <w:pPr>
        <w:pStyle w:val="3"/>
        <w:spacing w:before="0" w:after="0" w:line="360" w:lineRule="auto"/>
        <w:rPr>
          <w:rFonts w:hint="eastAsia" w:ascii="宋体" w:hAnsi="宋体" w:eastAsia="宋体"/>
          <w:sz w:val="28"/>
          <w:szCs w:val="28"/>
        </w:rPr>
      </w:pPr>
      <w:bookmarkStart w:id="443" w:name="_Toc175233414"/>
      <w:r>
        <w:rPr>
          <w:rFonts w:hint="eastAsia" w:ascii="宋体" w:hAnsi="宋体" w:eastAsia="宋体"/>
          <w:sz w:val="28"/>
          <w:szCs w:val="28"/>
        </w:rPr>
        <w:t>经济效益</w:t>
      </w:r>
      <w:bookmarkEnd w:id="443"/>
    </w:p>
    <w:p w14:paraId="02F8F1E1">
      <w:pPr>
        <w:pStyle w:val="57"/>
      </w:pPr>
      <w:r>
        <w:rPr>
          <w:rFonts w:hint="eastAsia"/>
        </w:rPr>
        <w:t>该</w:t>
      </w:r>
      <w:r>
        <w:rPr>
          <w:rFonts w:hint="eastAsia" w:ascii="宋体" w:hAnsi="宋体"/>
        </w:rPr>
        <w:t>项目实施后，水质净化的受益人口8580人，水质监测的受益人口191781人，</w:t>
      </w:r>
      <w:r>
        <w:rPr>
          <w:rFonts w:hint="eastAsia"/>
        </w:rPr>
        <w:t>对改善群众饮水卫生条件，提高群众生活水平，增强人民体质，有着重要的作用。同时，可节约大量的人力、物力和财力，促进地区经济的快速发展，以适应时代发展要求。</w:t>
      </w:r>
    </w:p>
    <w:p w14:paraId="2363EBEE">
      <w:pPr>
        <w:pStyle w:val="57"/>
      </w:pPr>
      <w:r>
        <w:rPr>
          <w:rFonts w:hint="eastAsia"/>
        </w:rPr>
        <w:t>按有无对比原则，项目经济效益体现在项目实施后带来的增量效益。该项目实施后，最显著的效益是</w:t>
      </w:r>
      <w:r>
        <w:rPr>
          <w:rFonts w:hint="eastAsia" w:ascii="宋体" w:hAnsi="宋体"/>
        </w:rPr>
        <w:t>农村人畜饮水净化</w:t>
      </w:r>
      <w:r>
        <w:rPr>
          <w:rFonts w:hint="eastAsia"/>
        </w:rPr>
        <w:t>效益和节省医疗费用效益等。</w:t>
      </w:r>
    </w:p>
    <w:p w14:paraId="4B5EBCDD">
      <w:pPr>
        <w:widowControl/>
        <w:jc w:val="left"/>
      </w:pPr>
      <w:r>
        <w:br w:type="page"/>
      </w:r>
    </w:p>
    <w:p w14:paraId="0C804BFF">
      <w:pPr>
        <w:pStyle w:val="2"/>
        <w:spacing w:before="120" w:after="120" w:line="360" w:lineRule="auto"/>
        <w:jc w:val="center"/>
      </w:pPr>
      <w:bookmarkStart w:id="444" w:name="_Toc175233415"/>
      <w:r>
        <w:rPr>
          <w:rFonts w:hint="eastAsia"/>
        </w:rPr>
        <w:t>结论和建议</w:t>
      </w:r>
      <w:bookmarkEnd w:id="444"/>
    </w:p>
    <w:p w14:paraId="30F023B8">
      <w:pPr>
        <w:spacing w:line="360" w:lineRule="auto"/>
        <w:ind w:firstLine="480" w:firstLineChars="200"/>
        <w:rPr>
          <w:rFonts w:hint="eastAsia" w:ascii="宋体" w:hAnsi="宋体" w:eastAsia="宋体"/>
          <w:sz w:val="24"/>
        </w:rPr>
      </w:pPr>
      <w:r>
        <w:rPr>
          <w:rFonts w:hint="eastAsia" w:ascii="宋体" w:hAnsi="宋体" w:eastAsia="宋体"/>
          <w:sz w:val="24"/>
        </w:rPr>
        <w:t>农村工作是我省的大局，多年来人畜饮水困难制约着地区经济的发展，影响着群众生产、生活。解决农村人畜饮水净化安全项目，是项目区广大人民群众多年的心愿，是振兴当地经济、发展生产的重要举措，其建成后，可方便群众生活，改善饮水卫生条件，增强人民体质，减少村民医药费支出，可极大的调动农民群众的生产积极性。这对于振兴地区民族经济，促进精神文明建设，加强民族团结，保持社会稳定都具有十分重要的作用。</w:t>
      </w:r>
    </w:p>
    <w:p w14:paraId="07971886">
      <w:pPr>
        <w:spacing w:line="360" w:lineRule="auto"/>
        <w:ind w:firstLine="480" w:firstLineChars="200"/>
        <w:rPr>
          <w:rFonts w:hint="eastAsia" w:ascii="宋体" w:hAnsi="宋体" w:eastAsia="宋体"/>
          <w:sz w:val="24"/>
        </w:rPr>
      </w:pPr>
      <w:r>
        <w:rPr>
          <w:rFonts w:hint="eastAsia" w:ascii="宋体" w:hAnsi="宋体" w:eastAsia="宋体"/>
          <w:sz w:val="24"/>
        </w:rPr>
        <w:t>本项目受到了当地各级政府部门的重视和农民群众的热情盼望，同党中央国务院关于农村饮水安全的精神一致，同时加上各级部门积极配合，深入项目区进行调研，落实人畜饮水净化配套工程建设项目方案，拟定项目措施，精心规划为项目的实施创造了良好条件。</w:t>
      </w:r>
    </w:p>
    <w:p w14:paraId="4A947584">
      <w:pPr>
        <w:spacing w:line="360" w:lineRule="auto"/>
        <w:ind w:firstLine="480" w:firstLineChars="200"/>
        <w:rPr>
          <w:rFonts w:hint="eastAsia" w:ascii="宋体" w:hAnsi="宋体" w:eastAsia="宋体"/>
          <w:sz w:val="24"/>
        </w:rPr>
      </w:pPr>
      <w:r>
        <w:rPr>
          <w:rFonts w:hint="eastAsia" w:ascii="宋体" w:hAnsi="宋体" w:eastAsia="宋体"/>
          <w:sz w:val="24"/>
        </w:rPr>
        <w:t>本项目规模适当，水源水质的保障，工程比较简单，无复杂技术问题。项目的实施不存在大问题。本项目建设目标明确、建设内容清楚，可达到预期成效，在基础条件、技术、经济等方面，都是可行的。项目建成后，其实施效益十分显著，因此，本项目的建设十分必要，建议主管部门及早付诸实施。</w:t>
      </w:r>
    </w:p>
    <w:p w14:paraId="3C6D2291">
      <w:pPr>
        <w:widowControl/>
        <w:spacing w:line="360" w:lineRule="auto"/>
        <w:ind w:firstLine="480" w:firstLineChars="200"/>
        <w:jc w:val="left"/>
        <w:rPr>
          <w:rFonts w:hint="eastAsia" w:ascii="宋体" w:hAnsi="宋体" w:eastAsia="宋体"/>
          <w:sz w:val="24"/>
        </w:rPr>
      </w:pPr>
      <w:r>
        <w:rPr>
          <w:rFonts w:ascii="宋体" w:hAnsi="宋体" w:eastAsia="宋体"/>
          <w:sz w:val="24"/>
        </w:rPr>
        <w:br w:type="page"/>
      </w:r>
    </w:p>
    <w:p w14:paraId="41D3F7CE">
      <w:pPr>
        <w:pStyle w:val="2"/>
        <w:spacing w:before="120" w:after="120" w:line="360" w:lineRule="auto"/>
        <w:jc w:val="center"/>
      </w:pPr>
      <w:bookmarkStart w:id="445" w:name="_Toc175233416"/>
      <w:r>
        <w:rPr>
          <w:rFonts w:hint="eastAsia"/>
        </w:rPr>
        <w:t>附件</w:t>
      </w:r>
      <w:bookmarkEnd w:id="445"/>
    </w:p>
    <w:p w14:paraId="7BD67F96">
      <w:pPr>
        <w:pStyle w:val="3"/>
      </w:pPr>
      <w:bookmarkStart w:id="446" w:name="_Toc175233417"/>
      <w:r>
        <w:rPr>
          <w:rFonts w:hint="eastAsia"/>
        </w:rPr>
        <w:t>概算编制依据</w:t>
      </w:r>
      <w:bookmarkEnd w:id="446"/>
    </w:p>
    <w:p w14:paraId="6EE990F4">
      <w:pPr>
        <w:numPr>
          <w:ilvl w:val="0"/>
          <w:numId w:val="45"/>
        </w:numPr>
        <w:spacing w:line="500" w:lineRule="exact"/>
        <w:ind w:firstLine="560"/>
        <w:rPr>
          <w:rFonts w:hint="eastAsia" w:ascii="宋体" w:hAnsi="宋体" w:eastAsia="宋体" w:cs="宋体"/>
        </w:rPr>
      </w:pPr>
      <w:r>
        <w:rPr>
          <w:rFonts w:hint="eastAsia" w:ascii="宋体" w:hAnsi="宋体" w:eastAsia="宋体" w:cs="宋体"/>
        </w:rPr>
        <w:t>本项目投资概算依据国家建设项目投资概算的有关规定编制，遵循“符合规范、结合实际、经济合理、不重不漏、计算正确”的指导原则。</w:t>
      </w:r>
    </w:p>
    <w:p w14:paraId="116ADD66">
      <w:pPr>
        <w:numPr>
          <w:ilvl w:val="0"/>
          <w:numId w:val="45"/>
        </w:numPr>
        <w:spacing w:line="500" w:lineRule="exact"/>
        <w:ind w:firstLine="560"/>
        <w:rPr>
          <w:rFonts w:hint="eastAsia" w:ascii="宋体" w:hAnsi="宋体" w:eastAsia="宋体" w:cs="宋体"/>
        </w:rPr>
      </w:pPr>
      <w:r>
        <w:rPr>
          <w:rFonts w:hint="eastAsia" w:ascii="宋体" w:hAnsi="宋体" w:eastAsia="宋体" w:cs="宋体"/>
        </w:rPr>
        <w:t>本项目建设投资包括工程建设费、工程建设其他费、预备费等。</w:t>
      </w:r>
    </w:p>
    <w:p w14:paraId="4BBC562A">
      <w:pPr>
        <w:numPr>
          <w:ilvl w:val="0"/>
          <w:numId w:val="45"/>
        </w:numPr>
        <w:spacing w:line="500" w:lineRule="exact"/>
        <w:ind w:firstLine="560"/>
        <w:rPr>
          <w:rFonts w:hint="eastAsia" w:ascii="宋体" w:hAnsi="宋体" w:eastAsia="宋体" w:cs="宋体"/>
        </w:rPr>
      </w:pPr>
      <w:r>
        <w:rPr>
          <w:rFonts w:hint="eastAsia" w:ascii="宋体" w:hAnsi="宋体" w:eastAsia="宋体" w:cs="宋体"/>
        </w:rPr>
        <w:t>《苏青东西部协作项目资金管理办法》（青乡振局2023 95号）。</w:t>
      </w:r>
    </w:p>
    <w:p w14:paraId="1342675F">
      <w:pPr>
        <w:numPr>
          <w:ilvl w:val="0"/>
          <w:numId w:val="45"/>
        </w:numPr>
        <w:spacing w:line="500" w:lineRule="exact"/>
        <w:ind w:firstLine="560"/>
        <w:rPr>
          <w:rFonts w:hint="eastAsia" w:ascii="宋体" w:hAnsi="宋体" w:eastAsia="宋体" w:cs="宋体"/>
        </w:rPr>
      </w:pPr>
      <w:r>
        <w:rPr>
          <w:rFonts w:hint="eastAsia" w:ascii="宋体" w:hAnsi="宋体" w:eastAsia="宋体" w:cs="宋体"/>
        </w:rPr>
        <w:t>相关设备价格参考中国政府采购网、厂家询价、以往工程经验等。</w:t>
      </w:r>
    </w:p>
    <w:p w14:paraId="75846061">
      <w:pPr>
        <w:numPr>
          <w:ilvl w:val="0"/>
          <w:numId w:val="45"/>
        </w:numPr>
        <w:spacing w:line="500" w:lineRule="exact"/>
        <w:ind w:firstLine="560"/>
        <w:rPr>
          <w:rFonts w:hint="eastAsia" w:ascii="宋体" w:hAnsi="宋体" w:eastAsia="宋体" w:cs="宋体"/>
        </w:rPr>
      </w:pPr>
      <w:r>
        <w:rPr>
          <w:rFonts w:hint="eastAsia" w:ascii="宋体" w:hAnsi="宋体" w:eastAsia="宋体" w:cs="宋体"/>
        </w:rPr>
        <w:t>项目审计费参照青建价协〔2023〕24号取费。</w:t>
      </w:r>
    </w:p>
    <w:p w14:paraId="72726445">
      <w:pPr>
        <w:numPr>
          <w:ilvl w:val="0"/>
          <w:numId w:val="45"/>
        </w:numPr>
        <w:spacing w:line="500" w:lineRule="exact"/>
        <w:ind w:firstLine="560"/>
        <w:rPr>
          <w:rFonts w:hint="eastAsia" w:ascii="宋体" w:hAnsi="宋体" w:eastAsia="宋体" w:cs="宋体"/>
        </w:rPr>
      </w:pPr>
      <w:r>
        <w:rPr>
          <w:rFonts w:hint="eastAsia" w:ascii="宋体" w:hAnsi="宋体" w:eastAsia="宋体" w:cs="宋体"/>
        </w:rPr>
        <w:t>预备费为不可预见费。</w:t>
      </w:r>
    </w:p>
    <w:p w14:paraId="297D8ECC">
      <w:pPr>
        <w:numPr>
          <w:ilvl w:val="0"/>
          <w:numId w:val="45"/>
        </w:numPr>
        <w:spacing w:line="500" w:lineRule="exact"/>
        <w:ind w:firstLine="560"/>
      </w:pPr>
      <w:r>
        <w:rPr>
          <w:rFonts w:hint="eastAsia" w:ascii="宋体" w:hAnsi="宋体" w:eastAsia="宋体" w:cs="宋体"/>
        </w:rPr>
        <w:t>运维费参照《青海省直部门信息化运营与维护项目预算支出控制标准（试行）的通知》（青财预字〔2020〕2136号）。</w:t>
      </w:r>
    </w:p>
    <w:p w14:paraId="50DBF8F5">
      <w:pPr>
        <w:pStyle w:val="3"/>
      </w:pPr>
      <w:bookmarkStart w:id="447" w:name="_Toc175233418"/>
      <w:r>
        <w:rPr>
          <w:rFonts w:hint="eastAsia"/>
        </w:rPr>
        <w:t>《西宁市湟中区农村人畜饮水净化配套工程建设项目概算表》</w:t>
      </w:r>
      <w:bookmarkEnd w:id="447"/>
    </w:p>
    <w:tbl>
      <w:tblPr>
        <w:tblStyle w:val="36"/>
        <w:tblW w:w="5000" w:type="pct"/>
        <w:tblInd w:w="0" w:type="dxa"/>
        <w:tblLayout w:type="fixed"/>
        <w:tblCellMar>
          <w:top w:w="0" w:type="dxa"/>
          <w:left w:w="108" w:type="dxa"/>
          <w:bottom w:w="0" w:type="dxa"/>
          <w:right w:w="108" w:type="dxa"/>
        </w:tblCellMar>
      </w:tblPr>
      <w:tblGrid>
        <w:gridCol w:w="632"/>
        <w:gridCol w:w="3550"/>
        <w:gridCol w:w="1254"/>
        <w:gridCol w:w="1254"/>
        <w:gridCol w:w="932"/>
        <w:gridCol w:w="900"/>
      </w:tblGrid>
      <w:tr w14:paraId="48699671">
        <w:tblPrEx>
          <w:tblCellMar>
            <w:top w:w="0" w:type="dxa"/>
            <w:left w:w="108" w:type="dxa"/>
            <w:bottom w:w="0" w:type="dxa"/>
            <w:right w:w="108" w:type="dxa"/>
          </w:tblCellMar>
        </w:tblPrEx>
        <w:trPr>
          <w:trHeight w:val="500" w:hRule="atLeast"/>
        </w:trPr>
        <w:tc>
          <w:tcPr>
            <w:tcW w:w="370" w:type="pct"/>
            <w:tcBorders>
              <w:top w:val="nil"/>
              <w:left w:val="nil"/>
              <w:bottom w:val="nil"/>
              <w:right w:val="nil"/>
            </w:tcBorders>
            <w:shd w:val="clear" w:color="auto" w:fill="auto"/>
            <w:noWrap/>
            <w:vAlign w:val="bottom"/>
          </w:tcPr>
          <w:p w14:paraId="21EAA878">
            <w:pPr>
              <w:widowControl/>
              <w:jc w:val="left"/>
              <w:rPr>
                <w:rFonts w:ascii="Times New Roman" w:hAnsi="Times New Roman" w:eastAsia="Times New Roman" w:cs="Times New Roman"/>
                <w:kern w:val="0"/>
                <w:sz w:val="20"/>
                <w:szCs w:val="20"/>
              </w:rPr>
            </w:pPr>
            <w:bookmarkStart w:id="448" w:name="_Toc173574212"/>
          </w:p>
        </w:tc>
        <w:tc>
          <w:tcPr>
            <w:tcW w:w="2083" w:type="pct"/>
            <w:tcBorders>
              <w:top w:val="nil"/>
              <w:left w:val="nil"/>
              <w:bottom w:val="nil"/>
              <w:right w:val="nil"/>
            </w:tcBorders>
            <w:shd w:val="clear" w:color="auto" w:fill="auto"/>
            <w:noWrap/>
            <w:vAlign w:val="bottom"/>
          </w:tcPr>
          <w:p w14:paraId="424DD8CA">
            <w:pPr>
              <w:widowControl/>
              <w:jc w:val="center"/>
              <w:rPr>
                <w:rFonts w:ascii="Times New Roman" w:hAnsi="Times New Roman" w:eastAsia="Times New Roman" w:cs="Times New Roman"/>
                <w:kern w:val="0"/>
                <w:sz w:val="20"/>
                <w:szCs w:val="20"/>
              </w:rPr>
            </w:pPr>
          </w:p>
        </w:tc>
        <w:tc>
          <w:tcPr>
            <w:tcW w:w="736" w:type="pct"/>
            <w:tcBorders>
              <w:top w:val="nil"/>
              <w:left w:val="nil"/>
              <w:bottom w:val="nil"/>
              <w:right w:val="nil"/>
            </w:tcBorders>
            <w:shd w:val="clear" w:color="auto" w:fill="auto"/>
            <w:noWrap/>
            <w:vAlign w:val="bottom"/>
          </w:tcPr>
          <w:p w14:paraId="3F828504">
            <w:pPr>
              <w:widowControl/>
              <w:jc w:val="center"/>
              <w:rPr>
                <w:rFonts w:ascii="Times New Roman" w:hAnsi="Times New Roman" w:eastAsia="Times New Roman" w:cs="Times New Roman"/>
                <w:kern w:val="0"/>
                <w:sz w:val="20"/>
                <w:szCs w:val="20"/>
              </w:rPr>
            </w:pPr>
          </w:p>
        </w:tc>
        <w:tc>
          <w:tcPr>
            <w:tcW w:w="736" w:type="pct"/>
            <w:tcBorders>
              <w:top w:val="nil"/>
              <w:left w:val="nil"/>
              <w:bottom w:val="nil"/>
              <w:right w:val="nil"/>
            </w:tcBorders>
            <w:shd w:val="clear" w:color="auto" w:fill="auto"/>
            <w:noWrap/>
            <w:vAlign w:val="bottom"/>
          </w:tcPr>
          <w:p w14:paraId="0D35B6CF">
            <w:pPr>
              <w:widowControl/>
              <w:jc w:val="center"/>
              <w:rPr>
                <w:rFonts w:ascii="Times New Roman" w:hAnsi="Times New Roman" w:eastAsia="Times New Roman" w:cs="Times New Roman"/>
                <w:kern w:val="0"/>
                <w:sz w:val="20"/>
                <w:szCs w:val="20"/>
              </w:rPr>
            </w:pPr>
          </w:p>
        </w:tc>
        <w:tc>
          <w:tcPr>
            <w:tcW w:w="1075" w:type="pct"/>
            <w:gridSpan w:val="2"/>
            <w:tcBorders>
              <w:top w:val="nil"/>
              <w:left w:val="nil"/>
              <w:bottom w:val="single" w:color="auto" w:sz="4" w:space="0"/>
              <w:right w:val="nil"/>
            </w:tcBorders>
            <w:shd w:val="clear" w:color="auto" w:fill="auto"/>
            <w:noWrap/>
            <w:vAlign w:val="center"/>
          </w:tcPr>
          <w:p w14:paraId="60B2DA32">
            <w:pPr>
              <w:widowControl/>
              <w:jc w:val="right"/>
              <w:rPr>
                <w:rFonts w:hint="eastAsia" w:ascii="宋体" w:hAnsi="宋体" w:eastAsia="宋体" w:cs="宋体"/>
                <w:kern w:val="0"/>
                <w:sz w:val="20"/>
                <w:szCs w:val="20"/>
              </w:rPr>
            </w:pPr>
            <w:r>
              <w:rPr>
                <w:rFonts w:hint="eastAsia" w:ascii="宋体" w:hAnsi="宋体" w:eastAsia="宋体" w:cs="宋体"/>
                <w:kern w:val="0"/>
                <w:sz w:val="20"/>
                <w:szCs w:val="20"/>
              </w:rPr>
              <w:t>单位：万元</w:t>
            </w:r>
          </w:p>
        </w:tc>
      </w:tr>
      <w:tr w14:paraId="31D8EFB9">
        <w:tblPrEx>
          <w:tblCellMar>
            <w:top w:w="0" w:type="dxa"/>
            <w:left w:w="108" w:type="dxa"/>
            <w:bottom w:w="0" w:type="dxa"/>
            <w:right w:w="108" w:type="dxa"/>
          </w:tblCellMar>
        </w:tblPrEx>
        <w:trPr>
          <w:trHeight w:val="500" w:hRule="atLeast"/>
        </w:trPr>
        <w:tc>
          <w:tcPr>
            <w:tcW w:w="37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5BD4492">
            <w:pPr>
              <w:widowControl/>
              <w:jc w:val="center"/>
              <w:rPr>
                <w:rFonts w:hint="eastAsia" w:ascii="宋体" w:hAnsi="宋体" w:eastAsia="宋体" w:cs="宋体"/>
                <w:kern w:val="0"/>
                <w:sz w:val="22"/>
                <w:szCs w:val="22"/>
              </w:rPr>
            </w:pPr>
            <w:r>
              <w:rPr>
                <w:rFonts w:hint="eastAsia" w:ascii="宋体" w:hAnsi="宋体" w:eastAsia="宋体" w:cs="宋体"/>
                <w:kern w:val="0"/>
                <w:sz w:val="22"/>
                <w:szCs w:val="22"/>
              </w:rPr>
              <w:t>序号</w:t>
            </w:r>
          </w:p>
        </w:tc>
        <w:tc>
          <w:tcPr>
            <w:tcW w:w="2083" w:type="pct"/>
            <w:tcBorders>
              <w:top w:val="single" w:color="auto" w:sz="4" w:space="0"/>
              <w:left w:val="nil"/>
              <w:bottom w:val="single" w:color="auto" w:sz="4" w:space="0"/>
              <w:right w:val="single" w:color="auto" w:sz="4" w:space="0"/>
            </w:tcBorders>
            <w:shd w:val="clear" w:color="auto" w:fill="auto"/>
            <w:noWrap/>
            <w:vAlign w:val="center"/>
          </w:tcPr>
          <w:p w14:paraId="18FC4E83">
            <w:pPr>
              <w:widowControl/>
              <w:jc w:val="center"/>
              <w:rPr>
                <w:rFonts w:hint="eastAsia" w:ascii="宋体" w:hAnsi="宋体" w:eastAsia="宋体" w:cs="宋体"/>
                <w:kern w:val="0"/>
                <w:sz w:val="22"/>
                <w:szCs w:val="22"/>
              </w:rPr>
            </w:pPr>
            <w:r>
              <w:rPr>
                <w:rFonts w:hint="eastAsia" w:ascii="宋体" w:hAnsi="宋体" w:eastAsia="宋体" w:cs="宋体"/>
                <w:kern w:val="0"/>
                <w:sz w:val="22"/>
                <w:szCs w:val="22"/>
              </w:rPr>
              <w:t>工程或费用名称</w:t>
            </w:r>
          </w:p>
        </w:tc>
        <w:tc>
          <w:tcPr>
            <w:tcW w:w="736" w:type="pct"/>
            <w:tcBorders>
              <w:top w:val="single" w:color="auto" w:sz="4" w:space="0"/>
              <w:left w:val="nil"/>
              <w:bottom w:val="single" w:color="auto" w:sz="4" w:space="0"/>
              <w:right w:val="single" w:color="auto" w:sz="4" w:space="0"/>
            </w:tcBorders>
            <w:shd w:val="clear" w:color="auto" w:fill="auto"/>
            <w:noWrap/>
            <w:vAlign w:val="center"/>
          </w:tcPr>
          <w:p w14:paraId="225CB748">
            <w:pPr>
              <w:widowControl/>
              <w:jc w:val="center"/>
              <w:rPr>
                <w:rFonts w:hint="eastAsia" w:ascii="宋体" w:hAnsi="宋体" w:eastAsia="宋体" w:cs="宋体"/>
                <w:kern w:val="0"/>
                <w:sz w:val="22"/>
                <w:szCs w:val="22"/>
              </w:rPr>
            </w:pPr>
            <w:r>
              <w:rPr>
                <w:rFonts w:hint="eastAsia" w:ascii="宋体" w:hAnsi="宋体" w:eastAsia="宋体" w:cs="宋体"/>
                <w:kern w:val="0"/>
                <w:sz w:val="22"/>
                <w:szCs w:val="22"/>
              </w:rPr>
              <w:t>建安工程费</w:t>
            </w:r>
          </w:p>
        </w:tc>
        <w:tc>
          <w:tcPr>
            <w:tcW w:w="736" w:type="pct"/>
            <w:tcBorders>
              <w:top w:val="single" w:color="auto" w:sz="4" w:space="0"/>
              <w:left w:val="nil"/>
              <w:bottom w:val="single" w:color="auto" w:sz="4" w:space="0"/>
              <w:right w:val="single" w:color="auto" w:sz="4" w:space="0"/>
            </w:tcBorders>
            <w:shd w:val="clear" w:color="auto" w:fill="auto"/>
            <w:noWrap/>
            <w:vAlign w:val="center"/>
          </w:tcPr>
          <w:p w14:paraId="59F007C4">
            <w:pPr>
              <w:widowControl/>
              <w:jc w:val="center"/>
              <w:rPr>
                <w:rFonts w:hint="eastAsia" w:ascii="宋体" w:hAnsi="宋体" w:eastAsia="宋体" w:cs="宋体"/>
                <w:kern w:val="0"/>
                <w:sz w:val="22"/>
                <w:szCs w:val="22"/>
              </w:rPr>
            </w:pPr>
            <w:r>
              <w:rPr>
                <w:rFonts w:hint="eastAsia" w:ascii="宋体" w:hAnsi="宋体" w:eastAsia="宋体" w:cs="宋体"/>
                <w:kern w:val="0"/>
                <w:sz w:val="22"/>
                <w:szCs w:val="22"/>
              </w:rPr>
              <w:t>设备购置费</w:t>
            </w:r>
          </w:p>
        </w:tc>
        <w:tc>
          <w:tcPr>
            <w:tcW w:w="547" w:type="pct"/>
            <w:tcBorders>
              <w:top w:val="nil"/>
              <w:left w:val="nil"/>
              <w:bottom w:val="single" w:color="auto" w:sz="4" w:space="0"/>
              <w:right w:val="single" w:color="auto" w:sz="4" w:space="0"/>
            </w:tcBorders>
            <w:shd w:val="clear" w:color="auto" w:fill="auto"/>
            <w:noWrap/>
            <w:vAlign w:val="center"/>
          </w:tcPr>
          <w:p w14:paraId="6866D666">
            <w:pPr>
              <w:widowControl/>
              <w:jc w:val="center"/>
              <w:rPr>
                <w:rFonts w:hint="eastAsia" w:ascii="宋体" w:hAnsi="宋体" w:eastAsia="宋体" w:cs="宋体"/>
                <w:kern w:val="0"/>
                <w:sz w:val="22"/>
                <w:szCs w:val="22"/>
              </w:rPr>
            </w:pPr>
            <w:r>
              <w:rPr>
                <w:rFonts w:hint="eastAsia" w:ascii="宋体" w:hAnsi="宋体" w:eastAsia="宋体" w:cs="宋体"/>
                <w:kern w:val="0"/>
                <w:sz w:val="22"/>
                <w:szCs w:val="22"/>
              </w:rPr>
              <w:t>独立费用</w:t>
            </w:r>
          </w:p>
        </w:tc>
        <w:tc>
          <w:tcPr>
            <w:tcW w:w="529" w:type="pct"/>
            <w:tcBorders>
              <w:top w:val="nil"/>
              <w:left w:val="nil"/>
              <w:bottom w:val="single" w:color="auto" w:sz="4" w:space="0"/>
              <w:right w:val="single" w:color="auto" w:sz="4" w:space="0"/>
            </w:tcBorders>
            <w:shd w:val="clear" w:color="auto" w:fill="auto"/>
            <w:noWrap/>
            <w:vAlign w:val="center"/>
          </w:tcPr>
          <w:p w14:paraId="4C3BEBFC">
            <w:pPr>
              <w:widowControl/>
              <w:jc w:val="center"/>
              <w:rPr>
                <w:rFonts w:hint="eastAsia" w:ascii="宋体" w:hAnsi="宋体" w:eastAsia="宋体" w:cs="宋体"/>
                <w:kern w:val="0"/>
                <w:sz w:val="22"/>
                <w:szCs w:val="22"/>
              </w:rPr>
            </w:pPr>
            <w:r>
              <w:rPr>
                <w:rFonts w:hint="eastAsia" w:ascii="宋体" w:hAnsi="宋体" w:eastAsia="宋体" w:cs="宋体"/>
                <w:kern w:val="0"/>
                <w:sz w:val="22"/>
                <w:szCs w:val="22"/>
              </w:rPr>
              <w:t>合计</w:t>
            </w:r>
          </w:p>
        </w:tc>
      </w:tr>
      <w:tr w14:paraId="65C64685">
        <w:tblPrEx>
          <w:tblCellMar>
            <w:top w:w="0" w:type="dxa"/>
            <w:left w:w="108" w:type="dxa"/>
            <w:bottom w:w="0" w:type="dxa"/>
            <w:right w:w="108" w:type="dxa"/>
          </w:tblCellMar>
        </w:tblPrEx>
        <w:trPr>
          <w:trHeight w:val="500" w:hRule="atLeast"/>
        </w:trPr>
        <w:tc>
          <w:tcPr>
            <w:tcW w:w="370" w:type="pct"/>
            <w:tcBorders>
              <w:top w:val="nil"/>
              <w:left w:val="single" w:color="auto" w:sz="4" w:space="0"/>
              <w:bottom w:val="single" w:color="auto" w:sz="4" w:space="0"/>
              <w:right w:val="single" w:color="auto" w:sz="4" w:space="0"/>
            </w:tcBorders>
            <w:shd w:val="clear" w:color="auto" w:fill="auto"/>
            <w:noWrap/>
            <w:vAlign w:val="center"/>
          </w:tcPr>
          <w:p w14:paraId="6A71697E">
            <w:pPr>
              <w:widowControl/>
              <w:jc w:val="center"/>
              <w:rPr>
                <w:rFonts w:hint="eastAsia" w:ascii="宋体" w:hAnsi="宋体" w:eastAsia="宋体" w:cs="宋体"/>
                <w:b/>
                <w:bCs/>
                <w:kern w:val="0"/>
                <w:sz w:val="22"/>
                <w:szCs w:val="22"/>
              </w:rPr>
            </w:pPr>
            <w:r>
              <w:rPr>
                <w:rFonts w:hint="eastAsia" w:ascii="宋体" w:hAnsi="宋体" w:eastAsia="宋体" w:cs="宋体"/>
                <w:b/>
                <w:bCs/>
                <w:kern w:val="0"/>
                <w:sz w:val="22"/>
                <w:szCs w:val="22"/>
              </w:rPr>
              <w:t>Ⅰ</w:t>
            </w:r>
          </w:p>
        </w:tc>
        <w:tc>
          <w:tcPr>
            <w:tcW w:w="2083" w:type="pct"/>
            <w:tcBorders>
              <w:top w:val="nil"/>
              <w:left w:val="nil"/>
              <w:bottom w:val="single" w:color="auto" w:sz="4" w:space="0"/>
              <w:right w:val="single" w:color="auto" w:sz="4" w:space="0"/>
            </w:tcBorders>
            <w:shd w:val="clear" w:color="auto" w:fill="auto"/>
            <w:noWrap/>
            <w:vAlign w:val="center"/>
          </w:tcPr>
          <w:p w14:paraId="1BE8E616">
            <w:pPr>
              <w:widowControl/>
              <w:jc w:val="center"/>
              <w:rPr>
                <w:rFonts w:hint="eastAsia" w:ascii="宋体" w:hAnsi="宋体" w:eastAsia="宋体" w:cs="宋体"/>
                <w:b/>
                <w:bCs/>
                <w:kern w:val="0"/>
                <w:sz w:val="22"/>
                <w:szCs w:val="22"/>
              </w:rPr>
            </w:pPr>
            <w:r>
              <w:rPr>
                <w:rFonts w:hint="eastAsia" w:ascii="宋体" w:hAnsi="宋体" w:eastAsia="宋体" w:cs="宋体"/>
                <w:b/>
                <w:bCs/>
                <w:kern w:val="0"/>
                <w:sz w:val="22"/>
                <w:szCs w:val="22"/>
              </w:rPr>
              <w:t>工程部分投资</w:t>
            </w:r>
          </w:p>
        </w:tc>
        <w:tc>
          <w:tcPr>
            <w:tcW w:w="736" w:type="pct"/>
            <w:tcBorders>
              <w:top w:val="nil"/>
              <w:left w:val="nil"/>
              <w:bottom w:val="single" w:color="auto" w:sz="4" w:space="0"/>
              <w:right w:val="single" w:color="auto" w:sz="4" w:space="0"/>
            </w:tcBorders>
            <w:shd w:val="clear" w:color="auto" w:fill="auto"/>
            <w:noWrap/>
            <w:vAlign w:val="center"/>
          </w:tcPr>
          <w:p w14:paraId="50CF8F44">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736" w:type="pct"/>
            <w:tcBorders>
              <w:top w:val="nil"/>
              <w:left w:val="nil"/>
              <w:bottom w:val="single" w:color="auto" w:sz="4" w:space="0"/>
              <w:right w:val="single" w:color="auto" w:sz="4" w:space="0"/>
            </w:tcBorders>
            <w:shd w:val="clear" w:color="auto" w:fill="auto"/>
            <w:noWrap/>
            <w:vAlign w:val="center"/>
          </w:tcPr>
          <w:p w14:paraId="45B80329">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547" w:type="pct"/>
            <w:tcBorders>
              <w:top w:val="nil"/>
              <w:left w:val="nil"/>
              <w:bottom w:val="single" w:color="auto" w:sz="4" w:space="0"/>
              <w:right w:val="single" w:color="auto" w:sz="4" w:space="0"/>
            </w:tcBorders>
            <w:shd w:val="clear" w:color="auto" w:fill="auto"/>
            <w:noWrap/>
            <w:vAlign w:val="center"/>
          </w:tcPr>
          <w:p w14:paraId="3F5E2578">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529" w:type="pct"/>
            <w:tcBorders>
              <w:top w:val="nil"/>
              <w:left w:val="nil"/>
              <w:bottom w:val="single" w:color="auto" w:sz="4" w:space="0"/>
              <w:right w:val="single" w:color="auto" w:sz="4" w:space="0"/>
            </w:tcBorders>
            <w:shd w:val="clear" w:color="auto" w:fill="auto"/>
            <w:noWrap/>
            <w:vAlign w:val="center"/>
          </w:tcPr>
          <w:p w14:paraId="19D043D0">
            <w:pPr>
              <w:widowControl/>
              <w:jc w:val="right"/>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xml:space="preserve">200.00 </w:t>
            </w:r>
          </w:p>
        </w:tc>
      </w:tr>
      <w:tr w14:paraId="72DC7B8E">
        <w:tblPrEx>
          <w:tblCellMar>
            <w:top w:w="0" w:type="dxa"/>
            <w:left w:w="108" w:type="dxa"/>
            <w:bottom w:w="0" w:type="dxa"/>
            <w:right w:w="108" w:type="dxa"/>
          </w:tblCellMar>
        </w:tblPrEx>
        <w:trPr>
          <w:trHeight w:val="500" w:hRule="atLeast"/>
        </w:trPr>
        <w:tc>
          <w:tcPr>
            <w:tcW w:w="370" w:type="pct"/>
            <w:tcBorders>
              <w:top w:val="nil"/>
              <w:left w:val="single" w:color="auto" w:sz="4" w:space="0"/>
              <w:bottom w:val="single" w:color="auto" w:sz="4" w:space="0"/>
              <w:right w:val="single" w:color="auto" w:sz="4" w:space="0"/>
            </w:tcBorders>
            <w:shd w:val="clear" w:color="auto" w:fill="auto"/>
            <w:noWrap/>
            <w:vAlign w:val="center"/>
          </w:tcPr>
          <w:p w14:paraId="028C52DB">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2083" w:type="pct"/>
            <w:tcBorders>
              <w:top w:val="nil"/>
              <w:left w:val="nil"/>
              <w:bottom w:val="single" w:color="auto" w:sz="4" w:space="0"/>
              <w:right w:val="single" w:color="auto" w:sz="4" w:space="0"/>
            </w:tcBorders>
            <w:shd w:val="clear" w:color="auto" w:fill="auto"/>
            <w:noWrap/>
            <w:vAlign w:val="center"/>
          </w:tcPr>
          <w:p w14:paraId="5C535CAB">
            <w:pPr>
              <w:widowControl/>
              <w:jc w:val="center"/>
              <w:rPr>
                <w:rFonts w:ascii="Times New Roman" w:hAnsi="Times New Roman" w:eastAsia="宋体" w:cs="Times New Roman"/>
                <w:b/>
                <w:bCs/>
                <w:kern w:val="0"/>
                <w:sz w:val="22"/>
                <w:szCs w:val="22"/>
              </w:rPr>
            </w:pPr>
            <w:r>
              <w:rPr>
                <w:rFonts w:hint="eastAsia" w:ascii="宋体" w:hAnsi="宋体" w:eastAsia="宋体" w:cs="Times New Roman"/>
                <w:b/>
                <w:bCs/>
                <w:kern w:val="0"/>
                <w:sz w:val="22"/>
                <w:szCs w:val="22"/>
              </w:rPr>
              <w:t>第一部分</w:t>
            </w:r>
            <w:r>
              <w:rPr>
                <w:rFonts w:ascii="Times New Roman" w:hAnsi="Times New Roman" w:eastAsia="宋体" w:cs="Times New Roman"/>
                <w:b/>
                <w:bCs/>
                <w:kern w:val="0"/>
                <w:sz w:val="22"/>
                <w:szCs w:val="22"/>
              </w:rPr>
              <w:t xml:space="preserve">  </w:t>
            </w:r>
            <w:r>
              <w:rPr>
                <w:rFonts w:hint="eastAsia" w:ascii="宋体" w:hAnsi="宋体" w:eastAsia="宋体" w:cs="Times New Roman"/>
                <w:b/>
                <w:bCs/>
                <w:kern w:val="0"/>
                <w:sz w:val="22"/>
                <w:szCs w:val="22"/>
              </w:rPr>
              <w:t>建筑工程</w:t>
            </w:r>
          </w:p>
        </w:tc>
        <w:tc>
          <w:tcPr>
            <w:tcW w:w="736" w:type="pct"/>
            <w:tcBorders>
              <w:top w:val="nil"/>
              <w:left w:val="nil"/>
              <w:bottom w:val="single" w:color="auto" w:sz="4" w:space="0"/>
              <w:right w:val="single" w:color="auto" w:sz="4" w:space="0"/>
            </w:tcBorders>
            <w:shd w:val="clear" w:color="auto" w:fill="auto"/>
            <w:noWrap/>
            <w:vAlign w:val="center"/>
          </w:tcPr>
          <w:p w14:paraId="05170669">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736" w:type="pct"/>
            <w:tcBorders>
              <w:top w:val="nil"/>
              <w:left w:val="nil"/>
              <w:bottom w:val="single" w:color="auto" w:sz="4" w:space="0"/>
              <w:right w:val="single" w:color="auto" w:sz="4" w:space="0"/>
            </w:tcBorders>
            <w:shd w:val="clear" w:color="auto" w:fill="auto"/>
            <w:noWrap/>
            <w:vAlign w:val="center"/>
          </w:tcPr>
          <w:p w14:paraId="5F5D9F0B">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547" w:type="pct"/>
            <w:tcBorders>
              <w:top w:val="nil"/>
              <w:left w:val="nil"/>
              <w:bottom w:val="single" w:color="auto" w:sz="4" w:space="0"/>
              <w:right w:val="single" w:color="auto" w:sz="4" w:space="0"/>
            </w:tcBorders>
            <w:shd w:val="clear" w:color="auto" w:fill="auto"/>
            <w:noWrap/>
            <w:vAlign w:val="center"/>
          </w:tcPr>
          <w:p w14:paraId="25AB4BFA">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529" w:type="pct"/>
            <w:tcBorders>
              <w:top w:val="nil"/>
              <w:left w:val="nil"/>
              <w:bottom w:val="single" w:color="auto" w:sz="4" w:space="0"/>
              <w:right w:val="single" w:color="auto" w:sz="4" w:space="0"/>
            </w:tcBorders>
            <w:shd w:val="clear" w:color="auto" w:fill="auto"/>
            <w:noWrap/>
            <w:vAlign w:val="center"/>
          </w:tcPr>
          <w:p w14:paraId="378E8DA3">
            <w:pPr>
              <w:widowControl/>
              <w:jc w:val="right"/>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r>
      <w:tr w14:paraId="0FAAFEFC">
        <w:tblPrEx>
          <w:tblCellMar>
            <w:top w:w="0" w:type="dxa"/>
            <w:left w:w="108" w:type="dxa"/>
            <w:bottom w:w="0" w:type="dxa"/>
            <w:right w:w="108" w:type="dxa"/>
          </w:tblCellMar>
        </w:tblPrEx>
        <w:trPr>
          <w:trHeight w:val="500" w:hRule="atLeast"/>
        </w:trPr>
        <w:tc>
          <w:tcPr>
            <w:tcW w:w="370" w:type="pct"/>
            <w:tcBorders>
              <w:top w:val="nil"/>
              <w:left w:val="single" w:color="auto" w:sz="4" w:space="0"/>
              <w:bottom w:val="single" w:color="auto" w:sz="4" w:space="0"/>
              <w:right w:val="single" w:color="auto" w:sz="4" w:space="0"/>
            </w:tcBorders>
            <w:shd w:val="clear" w:color="auto" w:fill="auto"/>
            <w:noWrap/>
            <w:vAlign w:val="center"/>
          </w:tcPr>
          <w:p w14:paraId="0F7CF285">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2083" w:type="pct"/>
            <w:tcBorders>
              <w:top w:val="nil"/>
              <w:left w:val="nil"/>
              <w:bottom w:val="single" w:color="auto" w:sz="4" w:space="0"/>
              <w:right w:val="single" w:color="auto" w:sz="4" w:space="0"/>
            </w:tcBorders>
            <w:shd w:val="clear" w:color="auto" w:fill="auto"/>
            <w:noWrap/>
            <w:vAlign w:val="center"/>
          </w:tcPr>
          <w:p w14:paraId="47709C93">
            <w:pPr>
              <w:widowControl/>
              <w:jc w:val="center"/>
              <w:rPr>
                <w:rFonts w:ascii="Times New Roman" w:hAnsi="Times New Roman" w:eastAsia="宋体" w:cs="Times New Roman"/>
                <w:b/>
                <w:bCs/>
                <w:kern w:val="0"/>
                <w:sz w:val="22"/>
                <w:szCs w:val="22"/>
              </w:rPr>
            </w:pPr>
            <w:r>
              <w:rPr>
                <w:rFonts w:hint="eastAsia" w:ascii="宋体" w:hAnsi="宋体" w:eastAsia="宋体" w:cs="Times New Roman"/>
                <w:b/>
                <w:bCs/>
                <w:kern w:val="0"/>
                <w:sz w:val="22"/>
                <w:szCs w:val="22"/>
              </w:rPr>
              <w:t>第二部分</w:t>
            </w:r>
            <w:r>
              <w:rPr>
                <w:rFonts w:ascii="Times New Roman" w:hAnsi="Times New Roman" w:eastAsia="宋体" w:cs="Times New Roman"/>
                <w:b/>
                <w:bCs/>
                <w:kern w:val="0"/>
                <w:sz w:val="22"/>
                <w:szCs w:val="22"/>
              </w:rPr>
              <w:t xml:space="preserve">  </w:t>
            </w:r>
            <w:r>
              <w:rPr>
                <w:rFonts w:hint="eastAsia" w:ascii="宋体" w:hAnsi="宋体" w:eastAsia="宋体" w:cs="Times New Roman"/>
                <w:b/>
                <w:bCs/>
                <w:kern w:val="0"/>
                <w:sz w:val="22"/>
                <w:szCs w:val="22"/>
              </w:rPr>
              <w:t>机电设备及安装工程</w:t>
            </w:r>
          </w:p>
        </w:tc>
        <w:tc>
          <w:tcPr>
            <w:tcW w:w="736" w:type="pct"/>
            <w:tcBorders>
              <w:top w:val="nil"/>
              <w:left w:val="nil"/>
              <w:bottom w:val="single" w:color="auto" w:sz="4" w:space="0"/>
              <w:right w:val="single" w:color="auto" w:sz="4" w:space="0"/>
            </w:tcBorders>
            <w:shd w:val="clear" w:color="auto" w:fill="auto"/>
            <w:noWrap/>
            <w:vAlign w:val="center"/>
          </w:tcPr>
          <w:p w14:paraId="46339F73">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55.00</w:t>
            </w:r>
          </w:p>
        </w:tc>
        <w:tc>
          <w:tcPr>
            <w:tcW w:w="736" w:type="pct"/>
            <w:tcBorders>
              <w:top w:val="nil"/>
              <w:left w:val="nil"/>
              <w:bottom w:val="single" w:color="auto" w:sz="4" w:space="0"/>
              <w:right w:val="single" w:color="auto" w:sz="4" w:space="0"/>
            </w:tcBorders>
            <w:shd w:val="clear" w:color="auto" w:fill="auto"/>
            <w:noWrap/>
            <w:vAlign w:val="center"/>
          </w:tcPr>
          <w:p w14:paraId="4578D5C5">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134.94</w:t>
            </w:r>
          </w:p>
        </w:tc>
        <w:tc>
          <w:tcPr>
            <w:tcW w:w="547" w:type="pct"/>
            <w:tcBorders>
              <w:top w:val="nil"/>
              <w:left w:val="nil"/>
              <w:bottom w:val="single" w:color="auto" w:sz="4" w:space="0"/>
              <w:right w:val="single" w:color="auto" w:sz="4" w:space="0"/>
            </w:tcBorders>
            <w:shd w:val="clear" w:color="auto" w:fill="auto"/>
            <w:noWrap/>
            <w:vAlign w:val="center"/>
          </w:tcPr>
          <w:p w14:paraId="47ADBBFC">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529" w:type="pct"/>
            <w:tcBorders>
              <w:top w:val="nil"/>
              <w:left w:val="nil"/>
              <w:bottom w:val="single" w:color="auto" w:sz="4" w:space="0"/>
              <w:right w:val="single" w:color="auto" w:sz="4" w:space="0"/>
            </w:tcBorders>
            <w:shd w:val="clear" w:color="auto" w:fill="auto"/>
            <w:noWrap/>
            <w:vAlign w:val="center"/>
          </w:tcPr>
          <w:p w14:paraId="6F118F15">
            <w:pPr>
              <w:widowControl/>
              <w:jc w:val="right"/>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xml:space="preserve">189.94 </w:t>
            </w:r>
          </w:p>
        </w:tc>
      </w:tr>
      <w:tr w14:paraId="452C67DE">
        <w:tblPrEx>
          <w:tblCellMar>
            <w:top w:w="0" w:type="dxa"/>
            <w:left w:w="108" w:type="dxa"/>
            <w:bottom w:w="0" w:type="dxa"/>
            <w:right w:w="108" w:type="dxa"/>
          </w:tblCellMar>
        </w:tblPrEx>
        <w:trPr>
          <w:trHeight w:val="500" w:hRule="atLeast"/>
        </w:trPr>
        <w:tc>
          <w:tcPr>
            <w:tcW w:w="370" w:type="pct"/>
            <w:tcBorders>
              <w:top w:val="nil"/>
              <w:left w:val="single" w:color="auto" w:sz="4" w:space="0"/>
              <w:bottom w:val="single" w:color="auto" w:sz="4" w:space="0"/>
              <w:right w:val="single" w:color="auto" w:sz="4" w:space="0"/>
            </w:tcBorders>
            <w:shd w:val="clear" w:color="auto" w:fill="auto"/>
            <w:noWrap/>
            <w:vAlign w:val="center"/>
          </w:tcPr>
          <w:p w14:paraId="2E04C1D2">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1</w:t>
            </w:r>
          </w:p>
        </w:tc>
        <w:tc>
          <w:tcPr>
            <w:tcW w:w="2083" w:type="pct"/>
            <w:tcBorders>
              <w:top w:val="nil"/>
              <w:left w:val="nil"/>
              <w:bottom w:val="single" w:color="auto" w:sz="4" w:space="0"/>
              <w:right w:val="single" w:color="auto" w:sz="4" w:space="0"/>
            </w:tcBorders>
            <w:shd w:val="clear" w:color="auto" w:fill="auto"/>
            <w:noWrap/>
            <w:vAlign w:val="center"/>
          </w:tcPr>
          <w:p w14:paraId="078C5894">
            <w:pPr>
              <w:widowControl/>
              <w:jc w:val="center"/>
              <w:rPr>
                <w:rFonts w:hint="eastAsia" w:ascii="宋体" w:hAnsi="宋体" w:eastAsia="宋体" w:cs="宋体"/>
                <w:kern w:val="0"/>
                <w:sz w:val="22"/>
                <w:szCs w:val="22"/>
              </w:rPr>
            </w:pPr>
            <w:r>
              <w:rPr>
                <w:rFonts w:hint="eastAsia" w:ascii="宋体" w:hAnsi="宋体" w:eastAsia="宋体" w:cs="宋体"/>
                <w:kern w:val="0"/>
                <w:sz w:val="22"/>
                <w:szCs w:val="22"/>
              </w:rPr>
              <w:t>水源地水质净化</w:t>
            </w:r>
          </w:p>
        </w:tc>
        <w:tc>
          <w:tcPr>
            <w:tcW w:w="736" w:type="pct"/>
            <w:tcBorders>
              <w:top w:val="nil"/>
              <w:left w:val="nil"/>
              <w:bottom w:val="single" w:color="auto" w:sz="4" w:space="0"/>
              <w:right w:val="single" w:color="auto" w:sz="4" w:space="0"/>
            </w:tcBorders>
            <w:shd w:val="clear" w:color="auto" w:fill="auto"/>
            <w:noWrap/>
            <w:vAlign w:val="center"/>
          </w:tcPr>
          <w:p w14:paraId="2E2EDD97">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5.00</w:t>
            </w:r>
          </w:p>
        </w:tc>
        <w:tc>
          <w:tcPr>
            <w:tcW w:w="736" w:type="pct"/>
            <w:tcBorders>
              <w:top w:val="nil"/>
              <w:left w:val="nil"/>
              <w:bottom w:val="single" w:color="auto" w:sz="4" w:space="0"/>
              <w:right w:val="single" w:color="auto" w:sz="4" w:space="0"/>
            </w:tcBorders>
            <w:shd w:val="clear" w:color="auto" w:fill="auto"/>
            <w:noWrap/>
            <w:vAlign w:val="center"/>
          </w:tcPr>
          <w:p w14:paraId="56F7A9B1">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15.00</w:t>
            </w:r>
          </w:p>
        </w:tc>
        <w:tc>
          <w:tcPr>
            <w:tcW w:w="547" w:type="pct"/>
            <w:tcBorders>
              <w:top w:val="nil"/>
              <w:left w:val="nil"/>
              <w:bottom w:val="single" w:color="auto" w:sz="4" w:space="0"/>
              <w:right w:val="single" w:color="auto" w:sz="4" w:space="0"/>
            </w:tcBorders>
            <w:shd w:val="clear" w:color="auto" w:fill="auto"/>
            <w:noWrap/>
            <w:vAlign w:val="center"/>
          </w:tcPr>
          <w:p w14:paraId="7635E236">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529" w:type="pct"/>
            <w:tcBorders>
              <w:top w:val="nil"/>
              <w:left w:val="nil"/>
              <w:bottom w:val="single" w:color="auto" w:sz="4" w:space="0"/>
              <w:right w:val="single" w:color="auto" w:sz="4" w:space="0"/>
            </w:tcBorders>
            <w:shd w:val="clear" w:color="auto" w:fill="auto"/>
            <w:noWrap/>
            <w:vAlign w:val="center"/>
          </w:tcPr>
          <w:p w14:paraId="0C341593">
            <w:pPr>
              <w:widowControl/>
              <w:jc w:val="right"/>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xml:space="preserve">20.00 </w:t>
            </w:r>
          </w:p>
        </w:tc>
      </w:tr>
      <w:tr w14:paraId="1A3A3990">
        <w:tblPrEx>
          <w:tblCellMar>
            <w:top w:w="0" w:type="dxa"/>
            <w:left w:w="108" w:type="dxa"/>
            <w:bottom w:w="0" w:type="dxa"/>
            <w:right w:w="108" w:type="dxa"/>
          </w:tblCellMar>
        </w:tblPrEx>
        <w:trPr>
          <w:trHeight w:val="500" w:hRule="atLeast"/>
        </w:trPr>
        <w:tc>
          <w:tcPr>
            <w:tcW w:w="370" w:type="pct"/>
            <w:tcBorders>
              <w:top w:val="nil"/>
              <w:left w:val="single" w:color="auto" w:sz="4" w:space="0"/>
              <w:bottom w:val="single" w:color="auto" w:sz="4" w:space="0"/>
              <w:right w:val="single" w:color="auto" w:sz="4" w:space="0"/>
            </w:tcBorders>
            <w:shd w:val="clear" w:color="auto" w:fill="auto"/>
            <w:noWrap/>
            <w:vAlign w:val="center"/>
          </w:tcPr>
          <w:p w14:paraId="539983B8">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2</w:t>
            </w:r>
          </w:p>
        </w:tc>
        <w:tc>
          <w:tcPr>
            <w:tcW w:w="2083" w:type="pct"/>
            <w:tcBorders>
              <w:top w:val="nil"/>
              <w:left w:val="nil"/>
              <w:bottom w:val="single" w:color="auto" w:sz="4" w:space="0"/>
              <w:right w:val="single" w:color="auto" w:sz="4" w:space="0"/>
            </w:tcBorders>
            <w:shd w:val="clear" w:color="auto" w:fill="auto"/>
            <w:noWrap/>
            <w:vAlign w:val="center"/>
          </w:tcPr>
          <w:p w14:paraId="435EFC0A">
            <w:pPr>
              <w:widowControl/>
              <w:jc w:val="center"/>
              <w:rPr>
                <w:rFonts w:hint="eastAsia" w:ascii="宋体" w:hAnsi="宋体" w:eastAsia="宋体" w:cs="宋体"/>
                <w:kern w:val="0"/>
                <w:sz w:val="22"/>
                <w:szCs w:val="22"/>
              </w:rPr>
            </w:pPr>
            <w:r>
              <w:rPr>
                <w:rFonts w:hint="eastAsia" w:ascii="宋体" w:hAnsi="宋体" w:eastAsia="宋体" w:cs="宋体"/>
                <w:kern w:val="0"/>
                <w:sz w:val="22"/>
                <w:szCs w:val="22"/>
              </w:rPr>
              <w:t>水源地水质在线监测及视频联动报警</w:t>
            </w:r>
          </w:p>
        </w:tc>
        <w:tc>
          <w:tcPr>
            <w:tcW w:w="736" w:type="pct"/>
            <w:tcBorders>
              <w:top w:val="nil"/>
              <w:left w:val="nil"/>
              <w:bottom w:val="single" w:color="auto" w:sz="4" w:space="0"/>
              <w:right w:val="single" w:color="auto" w:sz="4" w:space="0"/>
            </w:tcBorders>
            <w:shd w:val="clear" w:color="auto" w:fill="auto"/>
            <w:noWrap/>
            <w:vAlign w:val="center"/>
          </w:tcPr>
          <w:p w14:paraId="2DF7EF70">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25.00</w:t>
            </w:r>
          </w:p>
        </w:tc>
        <w:tc>
          <w:tcPr>
            <w:tcW w:w="736" w:type="pct"/>
            <w:tcBorders>
              <w:top w:val="nil"/>
              <w:left w:val="nil"/>
              <w:bottom w:val="single" w:color="auto" w:sz="4" w:space="0"/>
              <w:right w:val="single" w:color="auto" w:sz="4" w:space="0"/>
            </w:tcBorders>
            <w:shd w:val="clear" w:color="auto" w:fill="auto"/>
            <w:noWrap/>
            <w:vAlign w:val="center"/>
          </w:tcPr>
          <w:p w14:paraId="1BA9736E">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47.46</w:t>
            </w:r>
          </w:p>
        </w:tc>
        <w:tc>
          <w:tcPr>
            <w:tcW w:w="547" w:type="pct"/>
            <w:tcBorders>
              <w:top w:val="nil"/>
              <w:left w:val="nil"/>
              <w:bottom w:val="single" w:color="auto" w:sz="4" w:space="0"/>
              <w:right w:val="single" w:color="auto" w:sz="4" w:space="0"/>
            </w:tcBorders>
            <w:shd w:val="clear" w:color="auto" w:fill="auto"/>
            <w:noWrap/>
            <w:vAlign w:val="center"/>
          </w:tcPr>
          <w:p w14:paraId="4EBE1156">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529" w:type="pct"/>
            <w:tcBorders>
              <w:top w:val="nil"/>
              <w:left w:val="nil"/>
              <w:bottom w:val="single" w:color="auto" w:sz="4" w:space="0"/>
              <w:right w:val="single" w:color="auto" w:sz="4" w:space="0"/>
            </w:tcBorders>
            <w:shd w:val="clear" w:color="auto" w:fill="auto"/>
            <w:noWrap/>
            <w:vAlign w:val="center"/>
          </w:tcPr>
          <w:p w14:paraId="6CABE9EE">
            <w:pPr>
              <w:widowControl/>
              <w:jc w:val="right"/>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xml:space="preserve">72.46 </w:t>
            </w:r>
          </w:p>
        </w:tc>
      </w:tr>
      <w:tr w14:paraId="0F3DE80A">
        <w:tblPrEx>
          <w:tblCellMar>
            <w:top w:w="0" w:type="dxa"/>
            <w:left w:w="108" w:type="dxa"/>
            <w:bottom w:w="0" w:type="dxa"/>
            <w:right w:w="108" w:type="dxa"/>
          </w:tblCellMar>
        </w:tblPrEx>
        <w:trPr>
          <w:trHeight w:val="500" w:hRule="atLeast"/>
        </w:trPr>
        <w:tc>
          <w:tcPr>
            <w:tcW w:w="370" w:type="pct"/>
            <w:tcBorders>
              <w:top w:val="nil"/>
              <w:left w:val="single" w:color="auto" w:sz="4" w:space="0"/>
              <w:bottom w:val="single" w:color="auto" w:sz="4" w:space="0"/>
              <w:right w:val="single" w:color="auto" w:sz="4" w:space="0"/>
            </w:tcBorders>
            <w:shd w:val="clear" w:color="auto" w:fill="auto"/>
            <w:noWrap/>
            <w:vAlign w:val="center"/>
          </w:tcPr>
          <w:p w14:paraId="46BF0495">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3</w:t>
            </w:r>
          </w:p>
        </w:tc>
        <w:tc>
          <w:tcPr>
            <w:tcW w:w="2083" w:type="pct"/>
            <w:tcBorders>
              <w:top w:val="nil"/>
              <w:left w:val="nil"/>
              <w:bottom w:val="single" w:color="auto" w:sz="4" w:space="0"/>
              <w:right w:val="single" w:color="auto" w:sz="4" w:space="0"/>
            </w:tcBorders>
            <w:shd w:val="clear" w:color="auto" w:fill="auto"/>
            <w:noWrap/>
            <w:vAlign w:val="center"/>
          </w:tcPr>
          <w:p w14:paraId="291F959B">
            <w:pPr>
              <w:widowControl/>
              <w:jc w:val="center"/>
              <w:rPr>
                <w:rFonts w:hint="eastAsia" w:ascii="宋体" w:hAnsi="宋体" w:eastAsia="宋体" w:cs="宋体"/>
                <w:kern w:val="0"/>
                <w:sz w:val="22"/>
                <w:szCs w:val="22"/>
              </w:rPr>
            </w:pPr>
            <w:r>
              <w:rPr>
                <w:rFonts w:hint="eastAsia" w:ascii="宋体" w:hAnsi="宋体" w:eastAsia="宋体" w:cs="宋体"/>
                <w:kern w:val="0"/>
                <w:sz w:val="22"/>
                <w:szCs w:val="22"/>
              </w:rPr>
              <w:t>水源地视频监控及算法自动报警</w:t>
            </w:r>
          </w:p>
        </w:tc>
        <w:tc>
          <w:tcPr>
            <w:tcW w:w="736" w:type="pct"/>
            <w:tcBorders>
              <w:top w:val="nil"/>
              <w:left w:val="nil"/>
              <w:bottom w:val="single" w:color="auto" w:sz="4" w:space="0"/>
              <w:right w:val="single" w:color="auto" w:sz="4" w:space="0"/>
            </w:tcBorders>
            <w:shd w:val="clear" w:color="auto" w:fill="auto"/>
            <w:noWrap/>
            <w:vAlign w:val="center"/>
          </w:tcPr>
          <w:p w14:paraId="3BBB2E1B">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25.00</w:t>
            </w:r>
          </w:p>
        </w:tc>
        <w:tc>
          <w:tcPr>
            <w:tcW w:w="736" w:type="pct"/>
            <w:tcBorders>
              <w:top w:val="nil"/>
              <w:left w:val="nil"/>
              <w:bottom w:val="single" w:color="auto" w:sz="4" w:space="0"/>
              <w:right w:val="single" w:color="auto" w:sz="4" w:space="0"/>
            </w:tcBorders>
            <w:shd w:val="clear" w:color="auto" w:fill="auto"/>
            <w:noWrap/>
            <w:vAlign w:val="center"/>
          </w:tcPr>
          <w:p w14:paraId="16E490A3">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37.47</w:t>
            </w:r>
          </w:p>
        </w:tc>
        <w:tc>
          <w:tcPr>
            <w:tcW w:w="547" w:type="pct"/>
            <w:tcBorders>
              <w:top w:val="nil"/>
              <w:left w:val="nil"/>
              <w:bottom w:val="single" w:color="auto" w:sz="4" w:space="0"/>
              <w:right w:val="single" w:color="auto" w:sz="4" w:space="0"/>
            </w:tcBorders>
            <w:shd w:val="clear" w:color="auto" w:fill="auto"/>
            <w:noWrap/>
            <w:vAlign w:val="center"/>
          </w:tcPr>
          <w:p w14:paraId="598D73FC">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529" w:type="pct"/>
            <w:tcBorders>
              <w:top w:val="nil"/>
              <w:left w:val="nil"/>
              <w:bottom w:val="single" w:color="auto" w:sz="4" w:space="0"/>
              <w:right w:val="single" w:color="auto" w:sz="4" w:space="0"/>
            </w:tcBorders>
            <w:shd w:val="clear" w:color="auto" w:fill="auto"/>
            <w:noWrap/>
            <w:vAlign w:val="center"/>
          </w:tcPr>
          <w:p w14:paraId="22A78249">
            <w:pPr>
              <w:widowControl/>
              <w:jc w:val="right"/>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xml:space="preserve">62.47 </w:t>
            </w:r>
          </w:p>
        </w:tc>
      </w:tr>
      <w:tr w14:paraId="52399818">
        <w:tblPrEx>
          <w:tblCellMar>
            <w:top w:w="0" w:type="dxa"/>
            <w:left w:w="108" w:type="dxa"/>
            <w:bottom w:w="0" w:type="dxa"/>
            <w:right w:w="108" w:type="dxa"/>
          </w:tblCellMar>
        </w:tblPrEx>
        <w:trPr>
          <w:trHeight w:val="500" w:hRule="atLeast"/>
        </w:trPr>
        <w:tc>
          <w:tcPr>
            <w:tcW w:w="370" w:type="pct"/>
            <w:tcBorders>
              <w:top w:val="nil"/>
              <w:left w:val="single" w:color="auto" w:sz="4" w:space="0"/>
              <w:bottom w:val="single" w:color="auto" w:sz="4" w:space="0"/>
              <w:right w:val="single" w:color="auto" w:sz="4" w:space="0"/>
            </w:tcBorders>
            <w:shd w:val="clear" w:color="auto" w:fill="auto"/>
            <w:noWrap/>
            <w:vAlign w:val="center"/>
          </w:tcPr>
          <w:p w14:paraId="54FB7FFA">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4</w:t>
            </w:r>
          </w:p>
        </w:tc>
        <w:tc>
          <w:tcPr>
            <w:tcW w:w="2083" w:type="pct"/>
            <w:tcBorders>
              <w:top w:val="nil"/>
              <w:left w:val="nil"/>
              <w:bottom w:val="single" w:color="auto" w:sz="4" w:space="0"/>
              <w:right w:val="single" w:color="auto" w:sz="4" w:space="0"/>
            </w:tcBorders>
            <w:shd w:val="clear" w:color="auto" w:fill="auto"/>
            <w:noWrap/>
            <w:vAlign w:val="center"/>
          </w:tcPr>
          <w:p w14:paraId="4F698A70">
            <w:pPr>
              <w:widowControl/>
              <w:jc w:val="center"/>
              <w:rPr>
                <w:rFonts w:hint="eastAsia" w:ascii="宋体" w:hAnsi="宋体" w:eastAsia="宋体" w:cs="宋体"/>
                <w:kern w:val="0"/>
                <w:sz w:val="22"/>
                <w:szCs w:val="22"/>
              </w:rPr>
            </w:pPr>
            <w:r>
              <w:rPr>
                <w:rFonts w:hint="eastAsia" w:ascii="宋体" w:hAnsi="宋体" w:eastAsia="宋体" w:cs="宋体"/>
                <w:kern w:val="0"/>
                <w:sz w:val="22"/>
                <w:szCs w:val="22"/>
              </w:rPr>
              <w:t>农村人畜饮水净化配套工程软件系统</w:t>
            </w:r>
          </w:p>
        </w:tc>
        <w:tc>
          <w:tcPr>
            <w:tcW w:w="736" w:type="pct"/>
            <w:tcBorders>
              <w:top w:val="nil"/>
              <w:left w:val="nil"/>
              <w:bottom w:val="single" w:color="auto" w:sz="4" w:space="0"/>
              <w:right w:val="single" w:color="auto" w:sz="4" w:space="0"/>
            </w:tcBorders>
            <w:shd w:val="clear" w:color="auto" w:fill="auto"/>
            <w:noWrap/>
            <w:vAlign w:val="center"/>
          </w:tcPr>
          <w:p w14:paraId="1EF0C4C1">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736" w:type="pct"/>
            <w:tcBorders>
              <w:top w:val="nil"/>
              <w:left w:val="nil"/>
              <w:bottom w:val="single" w:color="auto" w:sz="4" w:space="0"/>
              <w:right w:val="single" w:color="auto" w:sz="4" w:space="0"/>
            </w:tcBorders>
            <w:shd w:val="clear" w:color="auto" w:fill="auto"/>
            <w:noWrap/>
            <w:vAlign w:val="center"/>
          </w:tcPr>
          <w:p w14:paraId="15B8E054">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35.00</w:t>
            </w:r>
          </w:p>
        </w:tc>
        <w:tc>
          <w:tcPr>
            <w:tcW w:w="547" w:type="pct"/>
            <w:tcBorders>
              <w:top w:val="nil"/>
              <w:left w:val="nil"/>
              <w:bottom w:val="single" w:color="auto" w:sz="4" w:space="0"/>
              <w:right w:val="single" w:color="auto" w:sz="4" w:space="0"/>
            </w:tcBorders>
            <w:shd w:val="clear" w:color="auto" w:fill="auto"/>
            <w:noWrap/>
            <w:vAlign w:val="center"/>
          </w:tcPr>
          <w:p w14:paraId="7082C38A">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529" w:type="pct"/>
            <w:tcBorders>
              <w:top w:val="nil"/>
              <w:left w:val="nil"/>
              <w:bottom w:val="single" w:color="auto" w:sz="4" w:space="0"/>
              <w:right w:val="single" w:color="auto" w:sz="4" w:space="0"/>
            </w:tcBorders>
            <w:shd w:val="clear" w:color="auto" w:fill="auto"/>
            <w:noWrap/>
            <w:vAlign w:val="center"/>
          </w:tcPr>
          <w:p w14:paraId="63947AD8">
            <w:pPr>
              <w:widowControl/>
              <w:jc w:val="right"/>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xml:space="preserve">35.00 </w:t>
            </w:r>
          </w:p>
        </w:tc>
      </w:tr>
      <w:tr w14:paraId="0A619AA2">
        <w:tblPrEx>
          <w:tblCellMar>
            <w:top w:w="0" w:type="dxa"/>
            <w:left w:w="108" w:type="dxa"/>
            <w:bottom w:w="0" w:type="dxa"/>
            <w:right w:w="108" w:type="dxa"/>
          </w:tblCellMar>
        </w:tblPrEx>
        <w:trPr>
          <w:trHeight w:val="500" w:hRule="atLeast"/>
        </w:trPr>
        <w:tc>
          <w:tcPr>
            <w:tcW w:w="370" w:type="pct"/>
            <w:tcBorders>
              <w:top w:val="nil"/>
              <w:left w:val="single" w:color="auto" w:sz="4" w:space="0"/>
              <w:bottom w:val="single" w:color="auto" w:sz="4" w:space="0"/>
              <w:right w:val="single" w:color="auto" w:sz="4" w:space="0"/>
            </w:tcBorders>
            <w:shd w:val="clear" w:color="auto" w:fill="auto"/>
            <w:noWrap/>
            <w:vAlign w:val="center"/>
          </w:tcPr>
          <w:p w14:paraId="068CB294">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2083" w:type="pct"/>
            <w:tcBorders>
              <w:top w:val="nil"/>
              <w:left w:val="nil"/>
              <w:bottom w:val="single" w:color="auto" w:sz="4" w:space="0"/>
              <w:right w:val="single" w:color="auto" w:sz="4" w:space="0"/>
            </w:tcBorders>
            <w:shd w:val="clear" w:color="auto" w:fill="auto"/>
            <w:noWrap/>
            <w:vAlign w:val="center"/>
          </w:tcPr>
          <w:p w14:paraId="5EAB93C8">
            <w:pPr>
              <w:widowControl/>
              <w:jc w:val="center"/>
              <w:rPr>
                <w:rFonts w:hint="eastAsia" w:ascii="宋体" w:hAnsi="宋体" w:eastAsia="宋体" w:cs="宋体"/>
                <w:b/>
                <w:bCs/>
                <w:kern w:val="0"/>
                <w:sz w:val="22"/>
                <w:szCs w:val="22"/>
              </w:rPr>
            </w:pPr>
            <w:r>
              <w:rPr>
                <w:rFonts w:hint="eastAsia" w:ascii="宋体" w:hAnsi="宋体" w:eastAsia="宋体" w:cs="宋体"/>
                <w:b/>
                <w:bCs/>
                <w:kern w:val="0"/>
                <w:sz w:val="22"/>
                <w:szCs w:val="22"/>
              </w:rPr>
              <w:t>第三部分  金属结构设备及安装工程</w:t>
            </w:r>
          </w:p>
        </w:tc>
        <w:tc>
          <w:tcPr>
            <w:tcW w:w="736" w:type="pct"/>
            <w:tcBorders>
              <w:top w:val="nil"/>
              <w:left w:val="nil"/>
              <w:bottom w:val="single" w:color="auto" w:sz="4" w:space="0"/>
              <w:right w:val="single" w:color="auto" w:sz="4" w:space="0"/>
            </w:tcBorders>
            <w:shd w:val="clear" w:color="auto" w:fill="auto"/>
            <w:noWrap/>
            <w:vAlign w:val="center"/>
          </w:tcPr>
          <w:p w14:paraId="77514C73">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　</w:t>
            </w:r>
          </w:p>
        </w:tc>
        <w:tc>
          <w:tcPr>
            <w:tcW w:w="736" w:type="pct"/>
            <w:tcBorders>
              <w:top w:val="nil"/>
              <w:left w:val="nil"/>
              <w:bottom w:val="single" w:color="auto" w:sz="4" w:space="0"/>
              <w:right w:val="single" w:color="auto" w:sz="4" w:space="0"/>
            </w:tcBorders>
            <w:shd w:val="clear" w:color="auto" w:fill="auto"/>
            <w:noWrap/>
            <w:vAlign w:val="center"/>
          </w:tcPr>
          <w:p w14:paraId="04EECE18">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　</w:t>
            </w:r>
          </w:p>
        </w:tc>
        <w:tc>
          <w:tcPr>
            <w:tcW w:w="547" w:type="pct"/>
            <w:tcBorders>
              <w:top w:val="nil"/>
              <w:left w:val="nil"/>
              <w:bottom w:val="single" w:color="auto" w:sz="4" w:space="0"/>
              <w:right w:val="single" w:color="auto" w:sz="4" w:space="0"/>
            </w:tcBorders>
            <w:shd w:val="clear" w:color="auto" w:fill="auto"/>
            <w:noWrap/>
            <w:vAlign w:val="center"/>
          </w:tcPr>
          <w:p w14:paraId="58651B00">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　</w:t>
            </w:r>
          </w:p>
        </w:tc>
        <w:tc>
          <w:tcPr>
            <w:tcW w:w="529" w:type="pct"/>
            <w:tcBorders>
              <w:top w:val="nil"/>
              <w:left w:val="nil"/>
              <w:bottom w:val="single" w:color="auto" w:sz="4" w:space="0"/>
              <w:right w:val="single" w:color="auto" w:sz="4" w:space="0"/>
            </w:tcBorders>
            <w:shd w:val="clear" w:color="auto" w:fill="auto"/>
            <w:noWrap/>
            <w:vAlign w:val="center"/>
          </w:tcPr>
          <w:p w14:paraId="39C9B640">
            <w:pPr>
              <w:widowControl/>
              <w:jc w:val="right"/>
              <w:rPr>
                <w:rFonts w:ascii="Times New Roman" w:hAnsi="Times New Roman" w:eastAsia="宋体" w:cs="Times New Roman"/>
                <w:kern w:val="0"/>
                <w:sz w:val="22"/>
                <w:szCs w:val="22"/>
              </w:rPr>
            </w:pPr>
            <w:r>
              <w:rPr>
                <w:rFonts w:ascii="Times New Roman" w:hAnsi="Times New Roman" w:eastAsia="宋体" w:cs="Times New Roman"/>
                <w:kern w:val="0"/>
                <w:sz w:val="22"/>
                <w:szCs w:val="22"/>
              </w:rPr>
              <w:t>　</w:t>
            </w:r>
          </w:p>
        </w:tc>
      </w:tr>
      <w:tr w14:paraId="31070974">
        <w:tblPrEx>
          <w:tblCellMar>
            <w:top w:w="0" w:type="dxa"/>
            <w:left w:w="108" w:type="dxa"/>
            <w:bottom w:w="0" w:type="dxa"/>
            <w:right w:w="108" w:type="dxa"/>
          </w:tblCellMar>
        </w:tblPrEx>
        <w:trPr>
          <w:trHeight w:val="500" w:hRule="atLeast"/>
        </w:trPr>
        <w:tc>
          <w:tcPr>
            <w:tcW w:w="370" w:type="pct"/>
            <w:tcBorders>
              <w:top w:val="nil"/>
              <w:left w:val="single" w:color="auto" w:sz="4" w:space="0"/>
              <w:bottom w:val="single" w:color="auto" w:sz="4" w:space="0"/>
              <w:right w:val="single" w:color="auto" w:sz="4" w:space="0"/>
            </w:tcBorders>
            <w:shd w:val="clear" w:color="auto" w:fill="auto"/>
            <w:noWrap/>
            <w:vAlign w:val="center"/>
          </w:tcPr>
          <w:p w14:paraId="5D75E31C">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2083" w:type="pct"/>
            <w:tcBorders>
              <w:top w:val="nil"/>
              <w:left w:val="nil"/>
              <w:bottom w:val="single" w:color="auto" w:sz="4" w:space="0"/>
              <w:right w:val="single" w:color="auto" w:sz="4" w:space="0"/>
            </w:tcBorders>
            <w:shd w:val="clear" w:color="auto" w:fill="auto"/>
            <w:noWrap/>
            <w:vAlign w:val="center"/>
          </w:tcPr>
          <w:p w14:paraId="0E969419">
            <w:pPr>
              <w:widowControl/>
              <w:jc w:val="center"/>
              <w:rPr>
                <w:rFonts w:hint="eastAsia" w:ascii="宋体" w:hAnsi="宋体" w:eastAsia="宋体" w:cs="宋体"/>
                <w:b/>
                <w:bCs/>
                <w:kern w:val="0"/>
                <w:sz w:val="22"/>
                <w:szCs w:val="22"/>
              </w:rPr>
            </w:pPr>
            <w:r>
              <w:rPr>
                <w:rFonts w:hint="eastAsia" w:ascii="宋体" w:hAnsi="宋体" w:eastAsia="宋体" w:cs="宋体"/>
                <w:b/>
                <w:bCs/>
                <w:kern w:val="0"/>
                <w:sz w:val="22"/>
                <w:szCs w:val="22"/>
              </w:rPr>
              <w:t>第四部分</w:t>
            </w:r>
            <w:r>
              <w:rPr>
                <w:rFonts w:ascii="Times New Roman" w:hAnsi="Times New Roman" w:eastAsia="宋体" w:cs="Times New Roman"/>
                <w:b/>
                <w:bCs/>
                <w:kern w:val="0"/>
                <w:sz w:val="22"/>
                <w:szCs w:val="22"/>
              </w:rPr>
              <w:t xml:space="preserve">  </w:t>
            </w:r>
            <w:r>
              <w:rPr>
                <w:rFonts w:hint="eastAsia" w:ascii="宋体" w:hAnsi="宋体" w:eastAsia="宋体" w:cs="宋体"/>
                <w:b/>
                <w:bCs/>
                <w:kern w:val="0"/>
                <w:sz w:val="22"/>
                <w:szCs w:val="22"/>
              </w:rPr>
              <w:t>施工临时工程</w:t>
            </w:r>
          </w:p>
        </w:tc>
        <w:tc>
          <w:tcPr>
            <w:tcW w:w="736" w:type="pct"/>
            <w:tcBorders>
              <w:top w:val="nil"/>
              <w:left w:val="nil"/>
              <w:bottom w:val="single" w:color="auto" w:sz="4" w:space="0"/>
              <w:right w:val="single" w:color="auto" w:sz="4" w:space="0"/>
            </w:tcBorders>
            <w:shd w:val="clear" w:color="auto" w:fill="auto"/>
            <w:noWrap/>
            <w:vAlign w:val="center"/>
          </w:tcPr>
          <w:p w14:paraId="41BC3E47">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0.95</w:t>
            </w:r>
          </w:p>
        </w:tc>
        <w:tc>
          <w:tcPr>
            <w:tcW w:w="736" w:type="pct"/>
            <w:tcBorders>
              <w:top w:val="nil"/>
              <w:left w:val="nil"/>
              <w:bottom w:val="single" w:color="auto" w:sz="4" w:space="0"/>
              <w:right w:val="single" w:color="auto" w:sz="4" w:space="0"/>
            </w:tcBorders>
            <w:shd w:val="clear" w:color="auto" w:fill="auto"/>
            <w:noWrap/>
            <w:vAlign w:val="center"/>
          </w:tcPr>
          <w:p w14:paraId="6DADF04C">
            <w:pPr>
              <w:widowControl/>
              <w:jc w:val="left"/>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547" w:type="pct"/>
            <w:tcBorders>
              <w:top w:val="nil"/>
              <w:left w:val="nil"/>
              <w:bottom w:val="single" w:color="auto" w:sz="4" w:space="0"/>
              <w:right w:val="single" w:color="auto" w:sz="4" w:space="0"/>
            </w:tcBorders>
            <w:shd w:val="clear" w:color="auto" w:fill="auto"/>
            <w:noWrap/>
            <w:vAlign w:val="center"/>
          </w:tcPr>
          <w:p w14:paraId="44E890E4">
            <w:pPr>
              <w:widowControl/>
              <w:jc w:val="left"/>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529" w:type="pct"/>
            <w:tcBorders>
              <w:top w:val="nil"/>
              <w:left w:val="nil"/>
              <w:bottom w:val="single" w:color="auto" w:sz="4" w:space="0"/>
              <w:right w:val="single" w:color="auto" w:sz="4" w:space="0"/>
            </w:tcBorders>
            <w:shd w:val="clear" w:color="auto" w:fill="auto"/>
            <w:noWrap/>
            <w:vAlign w:val="center"/>
          </w:tcPr>
          <w:p w14:paraId="290B4948">
            <w:pPr>
              <w:widowControl/>
              <w:jc w:val="right"/>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xml:space="preserve">0.95 </w:t>
            </w:r>
          </w:p>
        </w:tc>
      </w:tr>
      <w:tr w14:paraId="7AE5DAB2">
        <w:tblPrEx>
          <w:tblCellMar>
            <w:top w:w="0" w:type="dxa"/>
            <w:left w:w="108" w:type="dxa"/>
            <w:bottom w:w="0" w:type="dxa"/>
            <w:right w:w="108" w:type="dxa"/>
          </w:tblCellMar>
        </w:tblPrEx>
        <w:trPr>
          <w:trHeight w:val="500" w:hRule="atLeast"/>
        </w:trPr>
        <w:tc>
          <w:tcPr>
            <w:tcW w:w="370" w:type="pct"/>
            <w:tcBorders>
              <w:top w:val="nil"/>
              <w:left w:val="single" w:color="auto" w:sz="4" w:space="0"/>
              <w:bottom w:val="single" w:color="auto" w:sz="4" w:space="0"/>
              <w:right w:val="single" w:color="auto" w:sz="4" w:space="0"/>
            </w:tcBorders>
            <w:shd w:val="clear" w:color="auto" w:fill="auto"/>
            <w:noWrap/>
            <w:vAlign w:val="center"/>
          </w:tcPr>
          <w:p w14:paraId="760266C0">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2083" w:type="pct"/>
            <w:tcBorders>
              <w:top w:val="nil"/>
              <w:left w:val="nil"/>
              <w:bottom w:val="single" w:color="auto" w:sz="4" w:space="0"/>
              <w:right w:val="single" w:color="auto" w:sz="4" w:space="0"/>
            </w:tcBorders>
            <w:shd w:val="clear" w:color="auto" w:fill="auto"/>
            <w:noWrap/>
            <w:vAlign w:val="center"/>
          </w:tcPr>
          <w:p w14:paraId="552CDC1E">
            <w:pPr>
              <w:widowControl/>
              <w:jc w:val="center"/>
              <w:rPr>
                <w:rFonts w:hint="eastAsia" w:ascii="宋体" w:hAnsi="宋体" w:eastAsia="宋体" w:cs="宋体"/>
                <w:kern w:val="0"/>
                <w:sz w:val="22"/>
                <w:szCs w:val="22"/>
              </w:rPr>
            </w:pPr>
            <w:r>
              <w:rPr>
                <w:rFonts w:hint="eastAsia" w:ascii="宋体" w:hAnsi="宋体" w:eastAsia="宋体" w:cs="宋体"/>
                <w:kern w:val="0"/>
                <w:sz w:val="22"/>
                <w:szCs w:val="22"/>
              </w:rPr>
              <w:t>一至四部分投资合计</w:t>
            </w:r>
          </w:p>
        </w:tc>
        <w:tc>
          <w:tcPr>
            <w:tcW w:w="736" w:type="pct"/>
            <w:tcBorders>
              <w:top w:val="nil"/>
              <w:left w:val="nil"/>
              <w:bottom w:val="single" w:color="auto" w:sz="4" w:space="0"/>
              <w:right w:val="single" w:color="auto" w:sz="4" w:space="0"/>
            </w:tcBorders>
            <w:shd w:val="clear" w:color="auto" w:fill="auto"/>
            <w:noWrap/>
            <w:vAlign w:val="center"/>
          </w:tcPr>
          <w:p w14:paraId="35055B38">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55.95</w:t>
            </w:r>
          </w:p>
        </w:tc>
        <w:tc>
          <w:tcPr>
            <w:tcW w:w="736" w:type="pct"/>
            <w:tcBorders>
              <w:top w:val="nil"/>
              <w:left w:val="nil"/>
              <w:bottom w:val="single" w:color="auto" w:sz="4" w:space="0"/>
              <w:right w:val="single" w:color="auto" w:sz="4" w:space="0"/>
            </w:tcBorders>
            <w:shd w:val="clear" w:color="auto" w:fill="auto"/>
            <w:noWrap/>
            <w:vAlign w:val="center"/>
          </w:tcPr>
          <w:p w14:paraId="29893189">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134.94</w:t>
            </w:r>
          </w:p>
        </w:tc>
        <w:tc>
          <w:tcPr>
            <w:tcW w:w="547" w:type="pct"/>
            <w:tcBorders>
              <w:top w:val="nil"/>
              <w:left w:val="nil"/>
              <w:bottom w:val="single" w:color="auto" w:sz="4" w:space="0"/>
              <w:right w:val="single" w:color="auto" w:sz="4" w:space="0"/>
            </w:tcBorders>
            <w:shd w:val="clear" w:color="auto" w:fill="auto"/>
            <w:noWrap/>
            <w:vAlign w:val="center"/>
          </w:tcPr>
          <w:p w14:paraId="0F3E2578">
            <w:pPr>
              <w:widowControl/>
              <w:jc w:val="left"/>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529" w:type="pct"/>
            <w:tcBorders>
              <w:top w:val="nil"/>
              <w:left w:val="nil"/>
              <w:bottom w:val="single" w:color="auto" w:sz="4" w:space="0"/>
              <w:right w:val="single" w:color="auto" w:sz="4" w:space="0"/>
            </w:tcBorders>
            <w:shd w:val="clear" w:color="auto" w:fill="auto"/>
            <w:noWrap/>
            <w:vAlign w:val="center"/>
          </w:tcPr>
          <w:p w14:paraId="5E30381F">
            <w:pPr>
              <w:widowControl/>
              <w:jc w:val="right"/>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190.89</w:t>
            </w:r>
          </w:p>
        </w:tc>
      </w:tr>
      <w:tr w14:paraId="252F348E">
        <w:tblPrEx>
          <w:tblCellMar>
            <w:top w:w="0" w:type="dxa"/>
            <w:left w:w="108" w:type="dxa"/>
            <w:bottom w:w="0" w:type="dxa"/>
            <w:right w:w="108" w:type="dxa"/>
          </w:tblCellMar>
        </w:tblPrEx>
        <w:trPr>
          <w:trHeight w:val="500" w:hRule="atLeast"/>
        </w:trPr>
        <w:tc>
          <w:tcPr>
            <w:tcW w:w="370" w:type="pct"/>
            <w:tcBorders>
              <w:top w:val="nil"/>
              <w:left w:val="single" w:color="auto" w:sz="4" w:space="0"/>
              <w:bottom w:val="single" w:color="auto" w:sz="4" w:space="0"/>
              <w:right w:val="single" w:color="auto" w:sz="4" w:space="0"/>
            </w:tcBorders>
            <w:shd w:val="clear" w:color="auto" w:fill="auto"/>
            <w:noWrap/>
            <w:vAlign w:val="center"/>
          </w:tcPr>
          <w:p w14:paraId="5F03CBE8">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2083" w:type="pct"/>
            <w:tcBorders>
              <w:top w:val="nil"/>
              <w:left w:val="nil"/>
              <w:bottom w:val="single" w:color="auto" w:sz="4" w:space="0"/>
              <w:right w:val="single" w:color="auto" w:sz="4" w:space="0"/>
            </w:tcBorders>
            <w:shd w:val="clear" w:color="auto" w:fill="auto"/>
            <w:noWrap/>
            <w:vAlign w:val="center"/>
          </w:tcPr>
          <w:p w14:paraId="2FB27D31">
            <w:pPr>
              <w:widowControl/>
              <w:jc w:val="center"/>
              <w:rPr>
                <w:rFonts w:hint="eastAsia" w:ascii="宋体" w:hAnsi="宋体" w:eastAsia="宋体" w:cs="宋体"/>
                <w:b/>
                <w:bCs/>
                <w:kern w:val="0"/>
                <w:sz w:val="22"/>
                <w:szCs w:val="22"/>
              </w:rPr>
            </w:pPr>
            <w:r>
              <w:rPr>
                <w:rFonts w:hint="eastAsia" w:ascii="宋体" w:hAnsi="宋体" w:eastAsia="宋体" w:cs="宋体"/>
                <w:b/>
                <w:bCs/>
                <w:kern w:val="0"/>
                <w:sz w:val="22"/>
                <w:szCs w:val="22"/>
              </w:rPr>
              <w:t>第五部分</w:t>
            </w:r>
            <w:r>
              <w:rPr>
                <w:rFonts w:ascii="Times New Roman" w:hAnsi="Times New Roman" w:eastAsia="宋体" w:cs="Times New Roman"/>
                <w:b/>
                <w:bCs/>
                <w:kern w:val="0"/>
                <w:sz w:val="22"/>
                <w:szCs w:val="22"/>
              </w:rPr>
              <w:t xml:space="preserve">  </w:t>
            </w:r>
            <w:r>
              <w:rPr>
                <w:rFonts w:hint="eastAsia" w:ascii="宋体" w:hAnsi="宋体" w:eastAsia="宋体" w:cs="宋体"/>
                <w:b/>
                <w:bCs/>
                <w:kern w:val="0"/>
                <w:sz w:val="22"/>
                <w:szCs w:val="22"/>
              </w:rPr>
              <w:t>独立费用</w:t>
            </w:r>
          </w:p>
        </w:tc>
        <w:tc>
          <w:tcPr>
            <w:tcW w:w="736" w:type="pct"/>
            <w:tcBorders>
              <w:top w:val="nil"/>
              <w:left w:val="nil"/>
              <w:bottom w:val="single" w:color="auto" w:sz="4" w:space="0"/>
              <w:right w:val="single" w:color="auto" w:sz="4" w:space="0"/>
            </w:tcBorders>
            <w:shd w:val="clear" w:color="auto" w:fill="auto"/>
            <w:noWrap/>
            <w:vAlign w:val="center"/>
          </w:tcPr>
          <w:p w14:paraId="6D798894">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736" w:type="pct"/>
            <w:tcBorders>
              <w:top w:val="nil"/>
              <w:left w:val="nil"/>
              <w:bottom w:val="single" w:color="auto" w:sz="4" w:space="0"/>
              <w:right w:val="single" w:color="auto" w:sz="4" w:space="0"/>
            </w:tcBorders>
            <w:shd w:val="clear" w:color="auto" w:fill="auto"/>
            <w:noWrap/>
            <w:vAlign w:val="center"/>
          </w:tcPr>
          <w:p w14:paraId="6A79966A">
            <w:pPr>
              <w:widowControl/>
              <w:jc w:val="left"/>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547" w:type="pct"/>
            <w:tcBorders>
              <w:top w:val="nil"/>
              <w:left w:val="nil"/>
              <w:bottom w:val="single" w:color="auto" w:sz="4" w:space="0"/>
              <w:right w:val="single" w:color="auto" w:sz="4" w:space="0"/>
            </w:tcBorders>
            <w:shd w:val="clear" w:color="auto" w:fill="auto"/>
            <w:noWrap/>
            <w:vAlign w:val="center"/>
          </w:tcPr>
          <w:p w14:paraId="558C5C10">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9.11</w:t>
            </w:r>
          </w:p>
        </w:tc>
        <w:tc>
          <w:tcPr>
            <w:tcW w:w="529" w:type="pct"/>
            <w:tcBorders>
              <w:top w:val="nil"/>
              <w:left w:val="nil"/>
              <w:bottom w:val="single" w:color="auto" w:sz="4" w:space="0"/>
              <w:right w:val="single" w:color="auto" w:sz="4" w:space="0"/>
            </w:tcBorders>
            <w:shd w:val="clear" w:color="auto" w:fill="auto"/>
            <w:noWrap/>
            <w:vAlign w:val="center"/>
          </w:tcPr>
          <w:p w14:paraId="04B4BFD0">
            <w:pPr>
              <w:widowControl/>
              <w:jc w:val="right"/>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xml:space="preserve">9.11 </w:t>
            </w:r>
          </w:p>
        </w:tc>
      </w:tr>
      <w:tr w14:paraId="542C1811">
        <w:tblPrEx>
          <w:tblCellMar>
            <w:top w:w="0" w:type="dxa"/>
            <w:left w:w="108" w:type="dxa"/>
            <w:bottom w:w="0" w:type="dxa"/>
            <w:right w:w="108" w:type="dxa"/>
          </w:tblCellMar>
        </w:tblPrEx>
        <w:trPr>
          <w:trHeight w:val="500" w:hRule="atLeast"/>
        </w:trPr>
        <w:tc>
          <w:tcPr>
            <w:tcW w:w="370" w:type="pct"/>
            <w:tcBorders>
              <w:top w:val="nil"/>
              <w:left w:val="single" w:color="auto" w:sz="4" w:space="0"/>
              <w:bottom w:val="single" w:color="auto" w:sz="4" w:space="0"/>
              <w:right w:val="single" w:color="auto" w:sz="4" w:space="0"/>
            </w:tcBorders>
            <w:shd w:val="clear" w:color="auto" w:fill="auto"/>
            <w:noWrap/>
            <w:vAlign w:val="center"/>
          </w:tcPr>
          <w:p w14:paraId="1EFFE296">
            <w:pPr>
              <w:widowControl/>
              <w:jc w:val="left"/>
              <w:rPr>
                <w:rFonts w:ascii="Times New Roman" w:hAnsi="Times New Roman" w:eastAsia="宋体" w:cs="Times New Roman"/>
                <w:kern w:val="0"/>
                <w:sz w:val="22"/>
                <w:szCs w:val="22"/>
              </w:rPr>
            </w:pPr>
            <w:r>
              <w:rPr>
                <w:rFonts w:ascii="Times New Roman" w:hAnsi="Times New Roman" w:eastAsia="宋体" w:cs="Times New Roman"/>
                <w:kern w:val="0"/>
                <w:sz w:val="22"/>
                <w:szCs w:val="22"/>
              </w:rPr>
              <w:t>　</w:t>
            </w:r>
          </w:p>
        </w:tc>
        <w:tc>
          <w:tcPr>
            <w:tcW w:w="2083" w:type="pct"/>
            <w:tcBorders>
              <w:top w:val="nil"/>
              <w:left w:val="nil"/>
              <w:bottom w:val="single" w:color="auto" w:sz="4" w:space="0"/>
              <w:right w:val="single" w:color="auto" w:sz="4" w:space="0"/>
            </w:tcBorders>
            <w:shd w:val="clear" w:color="auto" w:fill="auto"/>
            <w:noWrap/>
            <w:vAlign w:val="center"/>
          </w:tcPr>
          <w:p w14:paraId="59A45468">
            <w:pPr>
              <w:widowControl/>
              <w:jc w:val="center"/>
              <w:rPr>
                <w:rFonts w:hint="eastAsia" w:ascii="宋体" w:hAnsi="宋体" w:eastAsia="宋体" w:cs="宋体"/>
                <w:kern w:val="0"/>
                <w:sz w:val="22"/>
                <w:szCs w:val="22"/>
              </w:rPr>
            </w:pPr>
            <w:r>
              <w:rPr>
                <w:rFonts w:hint="eastAsia" w:ascii="宋体" w:hAnsi="宋体" w:eastAsia="宋体" w:cs="宋体"/>
                <w:kern w:val="0"/>
                <w:sz w:val="22"/>
                <w:szCs w:val="22"/>
              </w:rPr>
              <w:t>一至五部分投资合计</w:t>
            </w:r>
          </w:p>
        </w:tc>
        <w:tc>
          <w:tcPr>
            <w:tcW w:w="736" w:type="pct"/>
            <w:tcBorders>
              <w:top w:val="nil"/>
              <w:left w:val="nil"/>
              <w:bottom w:val="single" w:color="auto" w:sz="4" w:space="0"/>
              <w:right w:val="single" w:color="auto" w:sz="4" w:space="0"/>
            </w:tcBorders>
            <w:shd w:val="clear" w:color="auto" w:fill="auto"/>
            <w:noWrap/>
            <w:vAlign w:val="center"/>
          </w:tcPr>
          <w:p w14:paraId="1046F14D">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55.95</w:t>
            </w:r>
          </w:p>
        </w:tc>
        <w:tc>
          <w:tcPr>
            <w:tcW w:w="736" w:type="pct"/>
            <w:tcBorders>
              <w:top w:val="nil"/>
              <w:left w:val="nil"/>
              <w:bottom w:val="single" w:color="auto" w:sz="4" w:space="0"/>
              <w:right w:val="single" w:color="auto" w:sz="4" w:space="0"/>
            </w:tcBorders>
            <w:shd w:val="clear" w:color="auto" w:fill="auto"/>
            <w:noWrap/>
            <w:vAlign w:val="center"/>
          </w:tcPr>
          <w:p w14:paraId="0CA3D072">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134.94</w:t>
            </w:r>
          </w:p>
        </w:tc>
        <w:tc>
          <w:tcPr>
            <w:tcW w:w="547" w:type="pct"/>
            <w:tcBorders>
              <w:top w:val="nil"/>
              <w:left w:val="nil"/>
              <w:bottom w:val="single" w:color="auto" w:sz="4" w:space="0"/>
              <w:right w:val="single" w:color="auto" w:sz="4" w:space="0"/>
            </w:tcBorders>
            <w:shd w:val="clear" w:color="auto" w:fill="auto"/>
            <w:noWrap/>
            <w:vAlign w:val="center"/>
          </w:tcPr>
          <w:p w14:paraId="0380651B">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9.11</w:t>
            </w:r>
          </w:p>
        </w:tc>
        <w:tc>
          <w:tcPr>
            <w:tcW w:w="529" w:type="pct"/>
            <w:tcBorders>
              <w:top w:val="nil"/>
              <w:left w:val="nil"/>
              <w:bottom w:val="single" w:color="auto" w:sz="4" w:space="0"/>
              <w:right w:val="single" w:color="auto" w:sz="4" w:space="0"/>
            </w:tcBorders>
            <w:shd w:val="clear" w:color="auto" w:fill="auto"/>
            <w:noWrap/>
            <w:vAlign w:val="center"/>
          </w:tcPr>
          <w:p w14:paraId="6FB37F6B">
            <w:pPr>
              <w:widowControl/>
              <w:jc w:val="right"/>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xml:space="preserve">200.00 </w:t>
            </w:r>
          </w:p>
        </w:tc>
      </w:tr>
      <w:tr w14:paraId="2E504DA6">
        <w:tblPrEx>
          <w:tblCellMar>
            <w:top w:w="0" w:type="dxa"/>
            <w:left w:w="108" w:type="dxa"/>
            <w:bottom w:w="0" w:type="dxa"/>
            <w:right w:w="108" w:type="dxa"/>
          </w:tblCellMar>
        </w:tblPrEx>
        <w:trPr>
          <w:trHeight w:val="500" w:hRule="atLeast"/>
        </w:trPr>
        <w:tc>
          <w:tcPr>
            <w:tcW w:w="370" w:type="pct"/>
            <w:tcBorders>
              <w:top w:val="nil"/>
              <w:left w:val="single" w:color="auto" w:sz="4" w:space="0"/>
              <w:bottom w:val="single" w:color="auto" w:sz="4" w:space="0"/>
              <w:right w:val="single" w:color="auto" w:sz="4" w:space="0"/>
            </w:tcBorders>
            <w:shd w:val="clear" w:color="auto" w:fill="auto"/>
            <w:noWrap/>
            <w:vAlign w:val="center"/>
          </w:tcPr>
          <w:p w14:paraId="3AA4291B">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2083" w:type="pct"/>
            <w:tcBorders>
              <w:top w:val="nil"/>
              <w:left w:val="nil"/>
              <w:bottom w:val="single" w:color="auto" w:sz="4" w:space="0"/>
              <w:right w:val="single" w:color="auto" w:sz="4" w:space="0"/>
            </w:tcBorders>
            <w:shd w:val="clear" w:color="auto" w:fill="auto"/>
            <w:noWrap/>
            <w:vAlign w:val="center"/>
          </w:tcPr>
          <w:p w14:paraId="46C9BDFC">
            <w:pPr>
              <w:widowControl/>
              <w:jc w:val="center"/>
              <w:rPr>
                <w:rFonts w:hint="eastAsia" w:ascii="宋体" w:hAnsi="宋体" w:eastAsia="宋体" w:cs="宋体"/>
                <w:kern w:val="0"/>
                <w:sz w:val="22"/>
                <w:szCs w:val="22"/>
              </w:rPr>
            </w:pPr>
            <w:r>
              <w:rPr>
                <w:rFonts w:hint="eastAsia" w:ascii="宋体" w:hAnsi="宋体" w:eastAsia="宋体" w:cs="宋体"/>
                <w:kern w:val="0"/>
                <w:sz w:val="22"/>
                <w:szCs w:val="22"/>
              </w:rPr>
              <w:t>基本预备费（</w:t>
            </w:r>
            <w:r>
              <w:rPr>
                <w:rFonts w:ascii="Times New Roman" w:hAnsi="Times New Roman" w:eastAsia="宋体" w:cs="Times New Roman"/>
                <w:kern w:val="0"/>
                <w:sz w:val="22"/>
                <w:szCs w:val="22"/>
              </w:rPr>
              <w:t>5%</w:t>
            </w:r>
            <w:r>
              <w:rPr>
                <w:rFonts w:hint="eastAsia" w:ascii="宋体" w:hAnsi="宋体" w:eastAsia="宋体" w:cs="宋体"/>
                <w:kern w:val="0"/>
                <w:sz w:val="22"/>
                <w:szCs w:val="22"/>
              </w:rPr>
              <w:t>）</w:t>
            </w:r>
          </w:p>
        </w:tc>
        <w:tc>
          <w:tcPr>
            <w:tcW w:w="736" w:type="pct"/>
            <w:tcBorders>
              <w:top w:val="nil"/>
              <w:left w:val="nil"/>
              <w:bottom w:val="single" w:color="auto" w:sz="4" w:space="0"/>
              <w:right w:val="single" w:color="auto" w:sz="4" w:space="0"/>
            </w:tcBorders>
            <w:shd w:val="clear" w:color="auto" w:fill="auto"/>
            <w:noWrap/>
            <w:vAlign w:val="center"/>
          </w:tcPr>
          <w:p w14:paraId="448A49D5">
            <w:pPr>
              <w:widowControl/>
              <w:jc w:val="left"/>
              <w:rPr>
                <w:rFonts w:ascii="Times New Roman" w:hAnsi="Times New Roman" w:eastAsia="宋体" w:cs="Times New Roman"/>
                <w:kern w:val="0"/>
                <w:sz w:val="22"/>
                <w:szCs w:val="22"/>
              </w:rPr>
            </w:pPr>
            <w:r>
              <w:rPr>
                <w:rFonts w:ascii="Times New Roman" w:hAnsi="Times New Roman" w:eastAsia="宋体" w:cs="Times New Roman"/>
                <w:kern w:val="0"/>
                <w:sz w:val="22"/>
                <w:szCs w:val="22"/>
              </w:rPr>
              <w:t>　</w:t>
            </w:r>
          </w:p>
        </w:tc>
        <w:tc>
          <w:tcPr>
            <w:tcW w:w="736" w:type="pct"/>
            <w:tcBorders>
              <w:top w:val="nil"/>
              <w:left w:val="nil"/>
              <w:bottom w:val="single" w:color="auto" w:sz="4" w:space="0"/>
              <w:right w:val="single" w:color="auto" w:sz="4" w:space="0"/>
            </w:tcBorders>
            <w:shd w:val="clear" w:color="auto" w:fill="auto"/>
            <w:noWrap/>
            <w:vAlign w:val="center"/>
          </w:tcPr>
          <w:p w14:paraId="083F4FB1">
            <w:pPr>
              <w:widowControl/>
              <w:jc w:val="left"/>
              <w:rPr>
                <w:rFonts w:ascii="Times New Roman" w:hAnsi="Times New Roman" w:eastAsia="宋体" w:cs="Times New Roman"/>
                <w:kern w:val="0"/>
                <w:sz w:val="22"/>
                <w:szCs w:val="22"/>
              </w:rPr>
            </w:pPr>
            <w:r>
              <w:rPr>
                <w:rFonts w:ascii="Times New Roman" w:hAnsi="Times New Roman" w:eastAsia="宋体" w:cs="Times New Roman"/>
                <w:kern w:val="0"/>
                <w:sz w:val="22"/>
                <w:szCs w:val="22"/>
              </w:rPr>
              <w:t>　</w:t>
            </w:r>
          </w:p>
        </w:tc>
        <w:tc>
          <w:tcPr>
            <w:tcW w:w="547" w:type="pct"/>
            <w:tcBorders>
              <w:top w:val="nil"/>
              <w:left w:val="nil"/>
              <w:bottom w:val="single" w:color="auto" w:sz="4" w:space="0"/>
              <w:right w:val="single" w:color="auto" w:sz="4" w:space="0"/>
            </w:tcBorders>
            <w:shd w:val="clear" w:color="auto" w:fill="auto"/>
            <w:noWrap/>
            <w:vAlign w:val="center"/>
          </w:tcPr>
          <w:p w14:paraId="7FE0EE92">
            <w:pPr>
              <w:widowControl/>
              <w:jc w:val="left"/>
              <w:rPr>
                <w:rFonts w:ascii="Times New Roman" w:hAnsi="Times New Roman" w:eastAsia="宋体" w:cs="Times New Roman"/>
                <w:kern w:val="0"/>
                <w:sz w:val="22"/>
                <w:szCs w:val="22"/>
              </w:rPr>
            </w:pPr>
            <w:r>
              <w:rPr>
                <w:rFonts w:ascii="Times New Roman" w:hAnsi="Times New Roman" w:eastAsia="宋体" w:cs="Times New Roman"/>
                <w:kern w:val="0"/>
                <w:sz w:val="22"/>
                <w:szCs w:val="22"/>
              </w:rPr>
              <w:t>　</w:t>
            </w:r>
          </w:p>
        </w:tc>
        <w:tc>
          <w:tcPr>
            <w:tcW w:w="529" w:type="pct"/>
            <w:tcBorders>
              <w:top w:val="nil"/>
              <w:left w:val="nil"/>
              <w:bottom w:val="single" w:color="auto" w:sz="4" w:space="0"/>
              <w:right w:val="single" w:color="auto" w:sz="4" w:space="0"/>
            </w:tcBorders>
            <w:shd w:val="clear" w:color="auto" w:fill="auto"/>
            <w:noWrap/>
            <w:vAlign w:val="center"/>
          </w:tcPr>
          <w:p w14:paraId="732D5CDC">
            <w:pPr>
              <w:widowControl/>
              <w:jc w:val="right"/>
              <w:rPr>
                <w:rFonts w:ascii="Times New Roman" w:hAnsi="Times New Roman" w:eastAsia="宋体" w:cs="Times New Roman"/>
                <w:kern w:val="0"/>
                <w:sz w:val="22"/>
                <w:szCs w:val="22"/>
              </w:rPr>
            </w:pPr>
            <w:r>
              <w:rPr>
                <w:rFonts w:ascii="Times New Roman" w:hAnsi="Times New Roman" w:eastAsia="宋体" w:cs="Times New Roman"/>
                <w:kern w:val="0"/>
                <w:sz w:val="22"/>
                <w:szCs w:val="22"/>
              </w:rPr>
              <w:t>　</w:t>
            </w:r>
          </w:p>
        </w:tc>
      </w:tr>
      <w:tr w14:paraId="2A245F42">
        <w:tblPrEx>
          <w:tblCellMar>
            <w:top w:w="0" w:type="dxa"/>
            <w:left w:w="108" w:type="dxa"/>
            <w:bottom w:w="0" w:type="dxa"/>
            <w:right w:w="108" w:type="dxa"/>
          </w:tblCellMar>
        </w:tblPrEx>
        <w:trPr>
          <w:trHeight w:val="500" w:hRule="atLeast"/>
        </w:trPr>
        <w:tc>
          <w:tcPr>
            <w:tcW w:w="370" w:type="pct"/>
            <w:tcBorders>
              <w:top w:val="nil"/>
              <w:left w:val="single" w:color="auto" w:sz="4" w:space="0"/>
              <w:bottom w:val="single" w:color="auto" w:sz="4" w:space="0"/>
              <w:right w:val="single" w:color="auto" w:sz="4" w:space="0"/>
            </w:tcBorders>
            <w:shd w:val="clear" w:color="auto" w:fill="auto"/>
            <w:noWrap/>
            <w:vAlign w:val="center"/>
          </w:tcPr>
          <w:p w14:paraId="59BF982B">
            <w:pPr>
              <w:widowControl/>
              <w:jc w:val="left"/>
              <w:rPr>
                <w:rFonts w:ascii="Times New Roman" w:hAnsi="Times New Roman" w:eastAsia="宋体" w:cs="Times New Roman"/>
                <w:kern w:val="0"/>
                <w:sz w:val="22"/>
                <w:szCs w:val="22"/>
              </w:rPr>
            </w:pPr>
            <w:r>
              <w:rPr>
                <w:rFonts w:ascii="Times New Roman" w:hAnsi="Times New Roman" w:eastAsia="宋体" w:cs="Times New Roman"/>
                <w:kern w:val="0"/>
                <w:sz w:val="22"/>
                <w:szCs w:val="22"/>
              </w:rPr>
              <w:t>　</w:t>
            </w:r>
          </w:p>
        </w:tc>
        <w:tc>
          <w:tcPr>
            <w:tcW w:w="2083" w:type="pct"/>
            <w:tcBorders>
              <w:top w:val="nil"/>
              <w:left w:val="nil"/>
              <w:bottom w:val="single" w:color="auto" w:sz="4" w:space="0"/>
              <w:right w:val="single" w:color="auto" w:sz="4" w:space="0"/>
            </w:tcBorders>
            <w:shd w:val="clear" w:color="auto" w:fill="auto"/>
            <w:noWrap/>
            <w:vAlign w:val="center"/>
          </w:tcPr>
          <w:p w14:paraId="263D92AC">
            <w:pPr>
              <w:widowControl/>
              <w:jc w:val="center"/>
              <w:rPr>
                <w:rFonts w:hint="eastAsia" w:ascii="宋体" w:hAnsi="宋体" w:eastAsia="宋体" w:cs="宋体"/>
                <w:b/>
                <w:bCs/>
                <w:kern w:val="0"/>
                <w:sz w:val="22"/>
                <w:szCs w:val="22"/>
              </w:rPr>
            </w:pPr>
            <w:r>
              <w:rPr>
                <w:rFonts w:hint="eastAsia" w:ascii="宋体" w:hAnsi="宋体" w:eastAsia="宋体" w:cs="宋体"/>
                <w:b/>
                <w:bCs/>
                <w:kern w:val="0"/>
                <w:sz w:val="22"/>
                <w:szCs w:val="22"/>
              </w:rPr>
              <w:t>静态投资</w:t>
            </w:r>
          </w:p>
        </w:tc>
        <w:tc>
          <w:tcPr>
            <w:tcW w:w="736" w:type="pct"/>
            <w:tcBorders>
              <w:top w:val="nil"/>
              <w:left w:val="nil"/>
              <w:bottom w:val="single" w:color="auto" w:sz="4" w:space="0"/>
              <w:right w:val="single" w:color="auto" w:sz="4" w:space="0"/>
            </w:tcBorders>
            <w:shd w:val="clear" w:color="auto" w:fill="auto"/>
            <w:noWrap/>
            <w:vAlign w:val="center"/>
          </w:tcPr>
          <w:p w14:paraId="23309D4A">
            <w:pPr>
              <w:widowControl/>
              <w:jc w:val="left"/>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736" w:type="pct"/>
            <w:tcBorders>
              <w:top w:val="nil"/>
              <w:left w:val="nil"/>
              <w:bottom w:val="single" w:color="auto" w:sz="4" w:space="0"/>
              <w:right w:val="single" w:color="auto" w:sz="4" w:space="0"/>
            </w:tcBorders>
            <w:shd w:val="clear" w:color="auto" w:fill="auto"/>
            <w:noWrap/>
            <w:vAlign w:val="center"/>
          </w:tcPr>
          <w:p w14:paraId="1B0EDA54">
            <w:pPr>
              <w:widowControl/>
              <w:jc w:val="left"/>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547" w:type="pct"/>
            <w:tcBorders>
              <w:top w:val="nil"/>
              <w:left w:val="nil"/>
              <w:bottom w:val="single" w:color="auto" w:sz="4" w:space="0"/>
              <w:right w:val="single" w:color="auto" w:sz="4" w:space="0"/>
            </w:tcBorders>
            <w:shd w:val="clear" w:color="auto" w:fill="auto"/>
            <w:noWrap/>
            <w:vAlign w:val="center"/>
          </w:tcPr>
          <w:p w14:paraId="23DA9612">
            <w:pPr>
              <w:widowControl/>
              <w:jc w:val="left"/>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529" w:type="pct"/>
            <w:tcBorders>
              <w:top w:val="nil"/>
              <w:left w:val="nil"/>
              <w:bottom w:val="single" w:color="auto" w:sz="4" w:space="0"/>
              <w:right w:val="single" w:color="auto" w:sz="4" w:space="0"/>
            </w:tcBorders>
            <w:shd w:val="clear" w:color="auto" w:fill="auto"/>
            <w:noWrap/>
            <w:vAlign w:val="center"/>
          </w:tcPr>
          <w:p w14:paraId="13BBE3F1">
            <w:pPr>
              <w:widowControl/>
              <w:jc w:val="right"/>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xml:space="preserve">200.00 </w:t>
            </w:r>
          </w:p>
        </w:tc>
      </w:tr>
      <w:tr w14:paraId="089FA539">
        <w:tblPrEx>
          <w:tblCellMar>
            <w:top w:w="0" w:type="dxa"/>
            <w:left w:w="108" w:type="dxa"/>
            <w:bottom w:w="0" w:type="dxa"/>
            <w:right w:w="108" w:type="dxa"/>
          </w:tblCellMar>
        </w:tblPrEx>
        <w:trPr>
          <w:trHeight w:val="500" w:hRule="atLeast"/>
        </w:trPr>
        <w:tc>
          <w:tcPr>
            <w:tcW w:w="370" w:type="pct"/>
            <w:tcBorders>
              <w:top w:val="nil"/>
              <w:left w:val="single" w:color="auto" w:sz="4" w:space="0"/>
              <w:bottom w:val="single" w:color="auto" w:sz="4" w:space="0"/>
              <w:right w:val="single" w:color="auto" w:sz="4" w:space="0"/>
            </w:tcBorders>
            <w:shd w:val="clear" w:color="auto" w:fill="auto"/>
            <w:noWrap/>
            <w:vAlign w:val="center"/>
          </w:tcPr>
          <w:p w14:paraId="50671E20">
            <w:pPr>
              <w:widowControl/>
              <w:jc w:val="center"/>
              <w:rPr>
                <w:rFonts w:hint="eastAsia" w:ascii="宋体" w:hAnsi="宋体" w:eastAsia="宋体" w:cs="宋体"/>
                <w:b/>
                <w:bCs/>
                <w:kern w:val="0"/>
                <w:sz w:val="22"/>
                <w:szCs w:val="22"/>
              </w:rPr>
            </w:pPr>
            <w:r>
              <w:rPr>
                <w:rFonts w:hint="eastAsia" w:ascii="宋体" w:hAnsi="宋体" w:eastAsia="宋体" w:cs="宋体"/>
                <w:b/>
                <w:bCs/>
                <w:kern w:val="0"/>
                <w:sz w:val="22"/>
                <w:szCs w:val="22"/>
              </w:rPr>
              <w:t>Ⅱ</w:t>
            </w:r>
          </w:p>
        </w:tc>
        <w:tc>
          <w:tcPr>
            <w:tcW w:w="2083" w:type="pct"/>
            <w:tcBorders>
              <w:top w:val="nil"/>
              <w:left w:val="nil"/>
              <w:bottom w:val="single" w:color="auto" w:sz="4" w:space="0"/>
              <w:right w:val="single" w:color="auto" w:sz="4" w:space="0"/>
            </w:tcBorders>
            <w:shd w:val="clear" w:color="auto" w:fill="auto"/>
            <w:noWrap/>
            <w:vAlign w:val="center"/>
          </w:tcPr>
          <w:p w14:paraId="1EFB7F7A">
            <w:pPr>
              <w:widowControl/>
              <w:jc w:val="center"/>
              <w:rPr>
                <w:rFonts w:hint="eastAsia" w:ascii="宋体" w:hAnsi="宋体" w:eastAsia="宋体" w:cs="宋体"/>
                <w:b/>
                <w:bCs/>
                <w:kern w:val="0"/>
                <w:sz w:val="22"/>
                <w:szCs w:val="22"/>
              </w:rPr>
            </w:pPr>
            <w:r>
              <w:rPr>
                <w:rFonts w:hint="eastAsia" w:ascii="宋体" w:hAnsi="宋体" w:eastAsia="宋体" w:cs="宋体"/>
                <w:b/>
                <w:bCs/>
                <w:kern w:val="0"/>
                <w:sz w:val="22"/>
                <w:szCs w:val="22"/>
              </w:rPr>
              <w:t>环境保护工程投资</w:t>
            </w:r>
          </w:p>
        </w:tc>
        <w:tc>
          <w:tcPr>
            <w:tcW w:w="736" w:type="pct"/>
            <w:tcBorders>
              <w:top w:val="nil"/>
              <w:left w:val="nil"/>
              <w:bottom w:val="single" w:color="auto" w:sz="4" w:space="0"/>
              <w:right w:val="single" w:color="auto" w:sz="4" w:space="0"/>
            </w:tcBorders>
            <w:shd w:val="clear" w:color="auto" w:fill="auto"/>
            <w:noWrap/>
            <w:vAlign w:val="center"/>
          </w:tcPr>
          <w:p w14:paraId="31563A98">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736" w:type="pct"/>
            <w:tcBorders>
              <w:top w:val="nil"/>
              <w:left w:val="nil"/>
              <w:bottom w:val="single" w:color="auto" w:sz="4" w:space="0"/>
              <w:right w:val="single" w:color="auto" w:sz="4" w:space="0"/>
            </w:tcBorders>
            <w:shd w:val="clear" w:color="auto" w:fill="auto"/>
            <w:noWrap/>
            <w:vAlign w:val="center"/>
          </w:tcPr>
          <w:p w14:paraId="5412B9CD">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547" w:type="pct"/>
            <w:tcBorders>
              <w:top w:val="nil"/>
              <w:left w:val="nil"/>
              <w:bottom w:val="single" w:color="auto" w:sz="4" w:space="0"/>
              <w:right w:val="single" w:color="auto" w:sz="4" w:space="0"/>
            </w:tcBorders>
            <w:shd w:val="clear" w:color="auto" w:fill="auto"/>
            <w:noWrap/>
            <w:vAlign w:val="center"/>
          </w:tcPr>
          <w:p w14:paraId="6D6ECC7B">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529" w:type="pct"/>
            <w:tcBorders>
              <w:top w:val="nil"/>
              <w:left w:val="nil"/>
              <w:bottom w:val="single" w:color="auto" w:sz="4" w:space="0"/>
              <w:right w:val="single" w:color="auto" w:sz="4" w:space="0"/>
            </w:tcBorders>
            <w:shd w:val="clear" w:color="auto" w:fill="auto"/>
            <w:noWrap/>
            <w:vAlign w:val="center"/>
          </w:tcPr>
          <w:p w14:paraId="4EA770CF">
            <w:pPr>
              <w:widowControl/>
              <w:jc w:val="right"/>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r>
      <w:tr w14:paraId="3BEBC7FC">
        <w:tblPrEx>
          <w:tblCellMar>
            <w:top w:w="0" w:type="dxa"/>
            <w:left w:w="108" w:type="dxa"/>
            <w:bottom w:w="0" w:type="dxa"/>
            <w:right w:w="108" w:type="dxa"/>
          </w:tblCellMar>
        </w:tblPrEx>
        <w:trPr>
          <w:trHeight w:val="500" w:hRule="atLeast"/>
        </w:trPr>
        <w:tc>
          <w:tcPr>
            <w:tcW w:w="370" w:type="pct"/>
            <w:tcBorders>
              <w:top w:val="nil"/>
              <w:left w:val="single" w:color="auto" w:sz="4" w:space="0"/>
              <w:bottom w:val="single" w:color="auto" w:sz="4" w:space="0"/>
              <w:right w:val="single" w:color="auto" w:sz="4" w:space="0"/>
            </w:tcBorders>
            <w:shd w:val="clear" w:color="auto" w:fill="auto"/>
            <w:noWrap/>
            <w:vAlign w:val="center"/>
          </w:tcPr>
          <w:p w14:paraId="6F921E06">
            <w:pPr>
              <w:widowControl/>
              <w:jc w:val="center"/>
              <w:rPr>
                <w:rFonts w:hint="eastAsia" w:ascii="宋体" w:hAnsi="宋体" w:eastAsia="宋体" w:cs="宋体"/>
                <w:b/>
                <w:bCs/>
                <w:kern w:val="0"/>
                <w:sz w:val="22"/>
                <w:szCs w:val="22"/>
              </w:rPr>
            </w:pPr>
            <w:r>
              <w:rPr>
                <w:rFonts w:hint="eastAsia" w:ascii="宋体" w:hAnsi="宋体" w:eastAsia="宋体" w:cs="宋体"/>
                <w:b/>
                <w:bCs/>
                <w:kern w:val="0"/>
                <w:sz w:val="22"/>
                <w:szCs w:val="22"/>
              </w:rPr>
              <w:t>Ⅲ</w:t>
            </w:r>
          </w:p>
        </w:tc>
        <w:tc>
          <w:tcPr>
            <w:tcW w:w="2083" w:type="pct"/>
            <w:tcBorders>
              <w:top w:val="nil"/>
              <w:left w:val="nil"/>
              <w:bottom w:val="single" w:color="auto" w:sz="4" w:space="0"/>
              <w:right w:val="single" w:color="auto" w:sz="4" w:space="0"/>
            </w:tcBorders>
            <w:shd w:val="clear" w:color="auto" w:fill="auto"/>
            <w:noWrap/>
            <w:vAlign w:val="center"/>
          </w:tcPr>
          <w:p w14:paraId="5396AD5C">
            <w:pPr>
              <w:widowControl/>
              <w:jc w:val="center"/>
              <w:rPr>
                <w:rFonts w:hint="eastAsia" w:ascii="宋体" w:hAnsi="宋体" w:eastAsia="宋体" w:cs="宋体"/>
                <w:b/>
                <w:bCs/>
                <w:kern w:val="0"/>
                <w:sz w:val="22"/>
                <w:szCs w:val="22"/>
              </w:rPr>
            </w:pPr>
            <w:r>
              <w:rPr>
                <w:rFonts w:hint="eastAsia" w:ascii="宋体" w:hAnsi="宋体" w:eastAsia="宋体" w:cs="宋体"/>
                <w:b/>
                <w:bCs/>
                <w:kern w:val="0"/>
                <w:sz w:val="22"/>
                <w:szCs w:val="22"/>
              </w:rPr>
              <w:t>水土保持工程投资</w:t>
            </w:r>
          </w:p>
        </w:tc>
        <w:tc>
          <w:tcPr>
            <w:tcW w:w="736" w:type="pct"/>
            <w:tcBorders>
              <w:top w:val="nil"/>
              <w:left w:val="nil"/>
              <w:bottom w:val="single" w:color="auto" w:sz="4" w:space="0"/>
              <w:right w:val="single" w:color="auto" w:sz="4" w:space="0"/>
            </w:tcBorders>
            <w:shd w:val="clear" w:color="auto" w:fill="auto"/>
            <w:noWrap/>
            <w:vAlign w:val="center"/>
          </w:tcPr>
          <w:p w14:paraId="568592E3">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736" w:type="pct"/>
            <w:tcBorders>
              <w:top w:val="nil"/>
              <w:left w:val="nil"/>
              <w:bottom w:val="single" w:color="auto" w:sz="4" w:space="0"/>
              <w:right w:val="single" w:color="auto" w:sz="4" w:space="0"/>
            </w:tcBorders>
            <w:shd w:val="clear" w:color="auto" w:fill="auto"/>
            <w:noWrap/>
            <w:vAlign w:val="center"/>
          </w:tcPr>
          <w:p w14:paraId="5D6100F4">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547" w:type="pct"/>
            <w:tcBorders>
              <w:top w:val="nil"/>
              <w:left w:val="nil"/>
              <w:bottom w:val="single" w:color="auto" w:sz="4" w:space="0"/>
              <w:right w:val="single" w:color="auto" w:sz="4" w:space="0"/>
            </w:tcBorders>
            <w:shd w:val="clear" w:color="auto" w:fill="auto"/>
            <w:noWrap/>
            <w:vAlign w:val="center"/>
          </w:tcPr>
          <w:p w14:paraId="6D6E7F75">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529" w:type="pct"/>
            <w:tcBorders>
              <w:top w:val="nil"/>
              <w:left w:val="nil"/>
              <w:bottom w:val="single" w:color="auto" w:sz="4" w:space="0"/>
              <w:right w:val="single" w:color="auto" w:sz="4" w:space="0"/>
            </w:tcBorders>
            <w:shd w:val="clear" w:color="auto" w:fill="auto"/>
            <w:noWrap/>
            <w:vAlign w:val="center"/>
          </w:tcPr>
          <w:p w14:paraId="431C9E25">
            <w:pPr>
              <w:widowControl/>
              <w:jc w:val="right"/>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r>
      <w:tr w14:paraId="4D5159B2">
        <w:tblPrEx>
          <w:tblCellMar>
            <w:top w:w="0" w:type="dxa"/>
            <w:left w:w="108" w:type="dxa"/>
            <w:bottom w:w="0" w:type="dxa"/>
            <w:right w:w="108" w:type="dxa"/>
          </w:tblCellMar>
        </w:tblPrEx>
        <w:trPr>
          <w:trHeight w:val="500" w:hRule="atLeast"/>
        </w:trPr>
        <w:tc>
          <w:tcPr>
            <w:tcW w:w="370" w:type="pct"/>
            <w:tcBorders>
              <w:top w:val="nil"/>
              <w:left w:val="single" w:color="auto" w:sz="4" w:space="0"/>
              <w:bottom w:val="single" w:color="auto" w:sz="4" w:space="0"/>
              <w:right w:val="single" w:color="auto" w:sz="4" w:space="0"/>
            </w:tcBorders>
            <w:shd w:val="clear" w:color="auto" w:fill="auto"/>
            <w:noWrap/>
            <w:vAlign w:val="center"/>
          </w:tcPr>
          <w:p w14:paraId="5F63E084">
            <w:pPr>
              <w:widowControl/>
              <w:jc w:val="center"/>
              <w:rPr>
                <w:rFonts w:hint="eastAsia" w:ascii="宋体" w:hAnsi="宋体" w:eastAsia="宋体" w:cs="宋体"/>
                <w:b/>
                <w:bCs/>
                <w:kern w:val="0"/>
                <w:sz w:val="22"/>
                <w:szCs w:val="22"/>
              </w:rPr>
            </w:pPr>
            <w:r>
              <w:rPr>
                <w:rFonts w:hint="eastAsia" w:ascii="宋体" w:hAnsi="宋体" w:eastAsia="宋体" w:cs="宋体"/>
                <w:b/>
                <w:bCs/>
                <w:kern w:val="0"/>
                <w:sz w:val="22"/>
                <w:szCs w:val="22"/>
              </w:rPr>
              <w:t>Ⅳ</w:t>
            </w:r>
          </w:p>
        </w:tc>
        <w:tc>
          <w:tcPr>
            <w:tcW w:w="2083" w:type="pct"/>
            <w:tcBorders>
              <w:top w:val="nil"/>
              <w:left w:val="nil"/>
              <w:bottom w:val="single" w:color="auto" w:sz="4" w:space="0"/>
              <w:right w:val="single" w:color="auto" w:sz="4" w:space="0"/>
            </w:tcBorders>
            <w:shd w:val="clear" w:color="auto" w:fill="auto"/>
            <w:noWrap/>
            <w:vAlign w:val="center"/>
          </w:tcPr>
          <w:p w14:paraId="15A91D38">
            <w:pPr>
              <w:widowControl/>
              <w:jc w:val="center"/>
              <w:rPr>
                <w:rFonts w:hint="eastAsia" w:ascii="宋体" w:hAnsi="宋体" w:eastAsia="宋体" w:cs="宋体"/>
                <w:b/>
                <w:bCs/>
                <w:kern w:val="0"/>
                <w:sz w:val="22"/>
                <w:szCs w:val="22"/>
              </w:rPr>
            </w:pPr>
            <w:r>
              <w:rPr>
                <w:rFonts w:hint="eastAsia" w:ascii="宋体" w:hAnsi="宋体" w:eastAsia="宋体" w:cs="宋体"/>
                <w:b/>
                <w:bCs/>
                <w:kern w:val="0"/>
                <w:sz w:val="22"/>
                <w:szCs w:val="22"/>
              </w:rPr>
              <w:t>工程投资总计（Ⅰ~Ⅲ）</w:t>
            </w:r>
          </w:p>
        </w:tc>
        <w:tc>
          <w:tcPr>
            <w:tcW w:w="736" w:type="pct"/>
            <w:tcBorders>
              <w:top w:val="nil"/>
              <w:left w:val="nil"/>
              <w:bottom w:val="single" w:color="auto" w:sz="4" w:space="0"/>
              <w:right w:val="single" w:color="auto" w:sz="4" w:space="0"/>
            </w:tcBorders>
            <w:shd w:val="clear" w:color="auto" w:fill="auto"/>
            <w:noWrap/>
            <w:vAlign w:val="center"/>
          </w:tcPr>
          <w:p w14:paraId="13D2AB16">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736" w:type="pct"/>
            <w:tcBorders>
              <w:top w:val="nil"/>
              <w:left w:val="nil"/>
              <w:bottom w:val="single" w:color="auto" w:sz="4" w:space="0"/>
              <w:right w:val="single" w:color="auto" w:sz="4" w:space="0"/>
            </w:tcBorders>
            <w:shd w:val="clear" w:color="auto" w:fill="auto"/>
            <w:noWrap/>
            <w:vAlign w:val="center"/>
          </w:tcPr>
          <w:p w14:paraId="13FA383F">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547" w:type="pct"/>
            <w:tcBorders>
              <w:top w:val="nil"/>
              <w:left w:val="nil"/>
              <w:bottom w:val="single" w:color="auto" w:sz="4" w:space="0"/>
              <w:right w:val="single" w:color="auto" w:sz="4" w:space="0"/>
            </w:tcBorders>
            <w:shd w:val="clear" w:color="auto" w:fill="auto"/>
            <w:noWrap/>
            <w:vAlign w:val="center"/>
          </w:tcPr>
          <w:p w14:paraId="014C86C8">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529" w:type="pct"/>
            <w:tcBorders>
              <w:top w:val="nil"/>
              <w:left w:val="nil"/>
              <w:bottom w:val="single" w:color="auto" w:sz="4" w:space="0"/>
              <w:right w:val="single" w:color="auto" w:sz="4" w:space="0"/>
            </w:tcBorders>
            <w:shd w:val="clear" w:color="auto" w:fill="auto"/>
            <w:noWrap/>
            <w:vAlign w:val="center"/>
          </w:tcPr>
          <w:p w14:paraId="6FDB5B7A">
            <w:pPr>
              <w:widowControl/>
              <w:jc w:val="right"/>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xml:space="preserve">200.00 </w:t>
            </w:r>
          </w:p>
        </w:tc>
      </w:tr>
    </w:tbl>
    <w:p w14:paraId="44EAE924">
      <w:pPr>
        <w:pStyle w:val="57"/>
        <w:ind w:firstLine="0" w:firstLineChars="0"/>
      </w:pPr>
    </w:p>
    <w:p w14:paraId="02FEDE00">
      <w:pPr>
        <w:widowControl/>
        <w:jc w:val="left"/>
        <w:rPr>
          <w:rFonts w:ascii="Times New Roman" w:hAnsi="Times New Roman" w:eastAsia="宋体" w:cs="Times New Roman"/>
          <w:spacing w:val="-2"/>
          <w:sz w:val="24"/>
          <w:szCs w:val="21"/>
          <w14:ligatures w14:val="standardContextual"/>
        </w:rPr>
      </w:pPr>
      <w:r>
        <w:br w:type="page"/>
      </w:r>
    </w:p>
    <w:p w14:paraId="06976A43">
      <w:pPr>
        <w:pStyle w:val="3"/>
        <w:spacing w:before="0" w:after="0" w:line="360" w:lineRule="auto"/>
        <w:rPr>
          <w:rFonts w:hint="eastAsia" w:ascii="宋体" w:hAnsi="宋体" w:eastAsia="宋体"/>
          <w:sz w:val="28"/>
          <w:szCs w:val="28"/>
        </w:rPr>
      </w:pPr>
      <w:bookmarkStart w:id="449" w:name="_Toc175233419"/>
      <w:r>
        <w:rPr>
          <w:rFonts w:hint="eastAsia" w:ascii="宋体" w:hAnsi="宋体" w:eastAsia="宋体"/>
          <w:sz w:val="28"/>
          <w:szCs w:val="28"/>
        </w:rPr>
        <w:t>设备及安装工程概算表</w:t>
      </w:r>
      <w:bookmarkEnd w:id="449"/>
    </w:p>
    <w:tbl>
      <w:tblPr>
        <w:tblStyle w:val="36"/>
        <w:tblW w:w="10065" w:type="dxa"/>
        <w:tblInd w:w="-601" w:type="dxa"/>
        <w:tblLayout w:type="autofit"/>
        <w:tblCellMar>
          <w:top w:w="0" w:type="dxa"/>
          <w:left w:w="108" w:type="dxa"/>
          <w:bottom w:w="0" w:type="dxa"/>
          <w:right w:w="108" w:type="dxa"/>
        </w:tblCellMar>
      </w:tblPr>
      <w:tblGrid>
        <w:gridCol w:w="567"/>
        <w:gridCol w:w="4537"/>
        <w:gridCol w:w="425"/>
        <w:gridCol w:w="425"/>
        <w:gridCol w:w="851"/>
        <w:gridCol w:w="850"/>
        <w:gridCol w:w="1276"/>
        <w:gridCol w:w="1134"/>
      </w:tblGrid>
      <w:tr w14:paraId="22094B14">
        <w:tblPrEx>
          <w:tblCellMar>
            <w:top w:w="0" w:type="dxa"/>
            <w:left w:w="108" w:type="dxa"/>
            <w:bottom w:w="0" w:type="dxa"/>
            <w:right w:w="108" w:type="dxa"/>
          </w:tblCellMar>
        </w:tblPrEx>
        <w:trPr>
          <w:trHeight w:val="500" w:hRule="atLeast"/>
        </w:trPr>
        <w:tc>
          <w:tcPr>
            <w:tcW w:w="567"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79D45206">
            <w:pPr>
              <w:widowControl/>
              <w:wordWrap w:val="0"/>
              <w:jc w:val="center"/>
              <w:rPr>
                <w:rFonts w:ascii="Times New Roman" w:hAnsi="Times New Roman" w:eastAsia="宋体" w:cs="Times New Roman"/>
                <w:kern w:val="0"/>
                <w:sz w:val="20"/>
                <w:szCs w:val="20"/>
              </w:rPr>
            </w:pPr>
            <w:r>
              <w:rPr>
                <w:rFonts w:hint="eastAsia" w:ascii="宋体" w:hAnsi="宋体" w:eastAsia="宋体" w:cs="Times New Roman"/>
                <w:kern w:val="0"/>
                <w:sz w:val="20"/>
                <w:szCs w:val="20"/>
              </w:rPr>
              <w:t>序号</w:t>
            </w:r>
          </w:p>
        </w:tc>
        <w:tc>
          <w:tcPr>
            <w:tcW w:w="4537"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615B9E2A">
            <w:pPr>
              <w:widowControl/>
              <w:wordWrap w:val="0"/>
              <w:jc w:val="center"/>
              <w:rPr>
                <w:rFonts w:ascii="Times New Roman" w:hAnsi="Times New Roman" w:eastAsia="宋体" w:cs="Times New Roman"/>
                <w:kern w:val="0"/>
                <w:sz w:val="20"/>
                <w:szCs w:val="20"/>
              </w:rPr>
            </w:pPr>
            <w:r>
              <w:rPr>
                <w:rFonts w:hint="eastAsia" w:ascii="宋体" w:hAnsi="宋体" w:eastAsia="宋体" w:cs="Times New Roman"/>
                <w:kern w:val="0"/>
                <w:sz w:val="20"/>
                <w:szCs w:val="20"/>
              </w:rPr>
              <w:t>名称及规格</w:t>
            </w:r>
          </w:p>
        </w:tc>
        <w:tc>
          <w:tcPr>
            <w:tcW w:w="425"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12CF94D7">
            <w:pPr>
              <w:widowControl/>
              <w:wordWrap w:val="0"/>
              <w:jc w:val="center"/>
              <w:rPr>
                <w:rFonts w:ascii="Times New Roman" w:hAnsi="Times New Roman" w:eastAsia="宋体" w:cs="Times New Roman"/>
                <w:kern w:val="0"/>
                <w:sz w:val="20"/>
                <w:szCs w:val="20"/>
              </w:rPr>
            </w:pPr>
            <w:r>
              <w:rPr>
                <w:rFonts w:hint="eastAsia" w:ascii="宋体" w:hAnsi="宋体" w:eastAsia="宋体" w:cs="Times New Roman"/>
                <w:kern w:val="0"/>
                <w:sz w:val="20"/>
                <w:szCs w:val="20"/>
              </w:rPr>
              <w:t>单位</w:t>
            </w:r>
          </w:p>
        </w:tc>
        <w:tc>
          <w:tcPr>
            <w:tcW w:w="425"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408DBEF1">
            <w:pPr>
              <w:widowControl/>
              <w:wordWrap w:val="0"/>
              <w:jc w:val="center"/>
              <w:rPr>
                <w:rFonts w:ascii="Times New Roman" w:hAnsi="Times New Roman" w:eastAsia="宋体" w:cs="Times New Roman"/>
                <w:kern w:val="0"/>
                <w:sz w:val="20"/>
                <w:szCs w:val="20"/>
              </w:rPr>
            </w:pPr>
            <w:r>
              <w:rPr>
                <w:rFonts w:hint="eastAsia" w:ascii="宋体" w:hAnsi="宋体" w:eastAsia="宋体" w:cs="Times New Roman"/>
                <w:kern w:val="0"/>
                <w:sz w:val="20"/>
                <w:szCs w:val="20"/>
              </w:rPr>
              <w:t>数量</w:t>
            </w:r>
          </w:p>
        </w:tc>
        <w:tc>
          <w:tcPr>
            <w:tcW w:w="1701" w:type="dxa"/>
            <w:gridSpan w:val="2"/>
            <w:tcBorders>
              <w:top w:val="single" w:color="auto" w:sz="4" w:space="0"/>
              <w:left w:val="nil"/>
              <w:bottom w:val="single" w:color="auto" w:sz="4" w:space="0"/>
              <w:right w:val="single" w:color="auto" w:sz="4" w:space="0"/>
            </w:tcBorders>
            <w:shd w:val="clear" w:color="auto" w:fill="auto"/>
            <w:noWrap/>
            <w:vAlign w:val="center"/>
          </w:tcPr>
          <w:p w14:paraId="18E2FE4B">
            <w:pPr>
              <w:widowControl/>
              <w:wordWrap w:val="0"/>
              <w:jc w:val="center"/>
              <w:rPr>
                <w:rFonts w:ascii="Times New Roman" w:hAnsi="Times New Roman" w:eastAsia="宋体" w:cs="Times New Roman"/>
                <w:kern w:val="0"/>
                <w:sz w:val="20"/>
                <w:szCs w:val="20"/>
              </w:rPr>
            </w:pPr>
            <w:r>
              <w:rPr>
                <w:rFonts w:hint="eastAsia" w:ascii="宋体" w:hAnsi="宋体" w:eastAsia="宋体" w:cs="Times New Roman"/>
                <w:kern w:val="0"/>
                <w:sz w:val="20"/>
                <w:szCs w:val="20"/>
              </w:rPr>
              <w:t>单价</w:t>
            </w:r>
            <w:r>
              <w:rPr>
                <w:rFonts w:ascii="Times New Roman" w:hAnsi="Times New Roman" w:eastAsia="宋体" w:cs="Times New Roman"/>
                <w:kern w:val="0"/>
                <w:sz w:val="20"/>
                <w:szCs w:val="20"/>
              </w:rPr>
              <w:t>(</w:t>
            </w:r>
            <w:r>
              <w:rPr>
                <w:rFonts w:hint="eastAsia" w:ascii="宋体" w:hAnsi="宋体" w:eastAsia="宋体" w:cs="Times New Roman"/>
                <w:kern w:val="0"/>
                <w:sz w:val="20"/>
                <w:szCs w:val="20"/>
              </w:rPr>
              <w:t>元</w:t>
            </w:r>
            <w:r>
              <w:rPr>
                <w:rFonts w:ascii="Times New Roman" w:hAnsi="Times New Roman" w:eastAsia="宋体" w:cs="Times New Roman"/>
                <w:kern w:val="0"/>
                <w:sz w:val="20"/>
                <w:szCs w:val="20"/>
              </w:rPr>
              <w:t>)</w:t>
            </w:r>
          </w:p>
        </w:tc>
        <w:tc>
          <w:tcPr>
            <w:tcW w:w="2410" w:type="dxa"/>
            <w:gridSpan w:val="2"/>
            <w:tcBorders>
              <w:top w:val="single" w:color="auto" w:sz="4" w:space="0"/>
              <w:left w:val="nil"/>
              <w:bottom w:val="single" w:color="auto" w:sz="4" w:space="0"/>
              <w:right w:val="single" w:color="auto" w:sz="4" w:space="0"/>
            </w:tcBorders>
            <w:shd w:val="clear" w:color="auto" w:fill="auto"/>
            <w:noWrap/>
            <w:vAlign w:val="center"/>
          </w:tcPr>
          <w:p w14:paraId="57423572">
            <w:pPr>
              <w:widowControl/>
              <w:wordWrap w:val="0"/>
              <w:jc w:val="center"/>
              <w:rPr>
                <w:rFonts w:ascii="Times New Roman" w:hAnsi="Times New Roman" w:eastAsia="宋体" w:cs="Times New Roman"/>
                <w:kern w:val="0"/>
                <w:sz w:val="20"/>
                <w:szCs w:val="20"/>
              </w:rPr>
            </w:pPr>
            <w:r>
              <w:rPr>
                <w:rFonts w:hint="eastAsia" w:ascii="宋体" w:hAnsi="宋体" w:eastAsia="宋体" w:cs="Times New Roman"/>
                <w:kern w:val="0"/>
                <w:sz w:val="20"/>
                <w:szCs w:val="20"/>
              </w:rPr>
              <w:t>合计</w:t>
            </w:r>
            <w:r>
              <w:rPr>
                <w:rFonts w:ascii="Times New Roman" w:hAnsi="Times New Roman" w:eastAsia="宋体" w:cs="Times New Roman"/>
                <w:kern w:val="0"/>
                <w:sz w:val="20"/>
                <w:szCs w:val="20"/>
              </w:rPr>
              <w:t>(</w:t>
            </w:r>
            <w:r>
              <w:rPr>
                <w:rFonts w:hint="eastAsia" w:ascii="宋体" w:hAnsi="宋体" w:eastAsia="宋体" w:cs="Times New Roman"/>
                <w:kern w:val="0"/>
                <w:sz w:val="20"/>
                <w:szCs w:val="20"/>
              </w:rPr>
              <w:t>元</w:t>
            </w:r>
            <w:r>
              <w:rPr>
                <w:rFonts w:ascii="Times New Roman" w:hAnsi="Times New Roman" w:eastAsia="宋体" w:cs="Times New Roman"/>
                <w:kern w:val="0"/>
                <w:sz w:val="20"/>
                <w:szCs w:val="20"/>
              </w:rPr>
              <w:t>)</w:t>
            </w:r>
          </w:p>
        </w:tc>
      </w:tr>
      <w:tr w14:paraId="23322E6E">
        <w:tblPrEx>
          <w:tblCellMar>
            <w:top w:w="0" w:type="dxa"/>
            <w:left w:w="108" w:type="dxa"/>
            <w:bottom w:w="0" w:type="dxa"/>
            <w:right w:w="108" w:type="dxa"/>
          </w:tblCellMar>
        </w:tblPrEx>
        <w:trPr>
          <w:trHeight w:val="500" w:hRule="atLeast"/>
        </w:trPr>
        <w:tc>
          <w:tcPr>
            <w:tcW w:w="567" w:type="dxa"/>
            <w:vMerge w:val="continue"/>
            <w:tcBorders>
              <w:top w:val="single" w:color="auto" w:sz="4" w:space="0"/>
              <w:left w:val="single" w:color="auto" w:sz="4" w:space="0"/>
              <w:bottom w:val="single" w:color="auto" w:sz="4" w:space="0"/>
              <w:right w:val="single" w:color="auto" w:sz="4" w:space="0"/>
            </w:tcBorders>
            <w:vAlign w:val="center"/>
          </w:tcPr>
          <w:p w14:paraId="599210FC">
            <w:pPr>
              <w:widowControl/>
              <w:wordWrap w:val="0"/>
              <w:jc w:val="left"/>
              <w:rPr>
                <w:rFonts w:ascii="Times New Roman" w:hAnsi="Times New Roman" w:eastAsia="宋体" w:cs="Times New Roman"/>
                <w:kern w:val="0"/>
                <w:sz w:val="20"/>
                <w:szCs w:val="20"/>
              </w:rPr>
            </w:pPr>
          </w:p>
        </w:tc>
        <w:tc>
          <w:tcPr>
            <w:tcW w:w="4537" w:type="dxa"/>
            <w:vMerge w:val="continue"/>
            <w:tcBorders>
              <w:top w:val="single" w:color="auto" w:sz="4" w:space="0"/>
              <w:left w:val="single" w:color="auto" w:sz="4" w:space="0"/>
              <w:bottom w:val="single" w:color="auto" w:sz="4" w:space="0"/>
              <w:right w:val="single" w:color="auto" w:sz="4" w:space="0"/>
            </w:tcBorders>
            <w:vAlign w:val="center"/>
          </w:tcPr>
          <w:p w14:paraId="53A281C4">
            <w:pPr>
              <w:widowControl/>
              <w:wordWrap w:val="0"/>
              <w:jc w:val="left"/>
              <w:rPr>
                <w:rFonts w:ascii="Times New Roman" w:hAnsi="Times New Roman" w:eastAsia="宋体" w:cs="Times New Roman"/>
                <w:kern w:val="0"/>
                <w:sz w:val="20"/>
                <w:szCs w:val="20"/>
              </w:rPr>
            </w:pPr>
          </w:p>
        </w:tc>
        <w:tc>
          <w:tcPr>
            <w:tcW w:w="425" w:type="dxa"/>
            <w:vMerge w:val="continue"/>
            <w:tcBorders>
              <w:top w:val="single" w:color="auto" w:sz="4" w:space="0"/>
              <w:left w:val="single" w:color="auto" w:sz="4" w:space="0"/>
              <w:bottom w:val="single" w:color="auto" w:sz="4" w:space="0"/>
              <w:right w:val="single" w:color="auto" w:sz="4" w:space="0"/>
            </w:tcBorders>
            <w:vAlign w:val="center"/>
          </w:tcPr>
          <w:p w14:paraId="1C591D76">
            <w:pPr>
              <w:widowControl/>
              <w:wordWrap w:val="0"/>
              <w:jc w:val="left"/>
              <w:rPr>
                <w:rFonts w:ascii="Times New Roman" w:hAnsi="Times New Roman" w:eastAsia="宋体" w:cs="Times New Roman"/>
                <w:kern w:val="0"/>
                <w:sz w:val="20"/>
                <w:szCs w:val="20"/>
              </w:rPr>
            </w:pPr>
          </w:p>
        </w:tc>
        <w:tc>
          <w:tcPr>
            <w:tcW w:w="425" w:type="dxa"/>
            <w:vMerge w:val="continue"/>
            <w:tcBorders>
              <w:top w:val="single" w:color="auto" w:sz="4" w:space="0"/>
              <w:left w:val="single" w:color="auto" w:sz="4" w:space="0"/>
              <w:bottom w:val="single" w:color="auto" w:sz="4" w:space="0"/>
              <w:right w:val="single" w:color="auto" w:sz="4" w:space="0"/>
            </w:tcBorders>
            <w:vAlign w:val="center"/>
          </w:tcPr>
          <w:p w14:paraId="21CC08DE">
            <w:pPr>
              <w:widowControl/>
              <w:wordWrap w:val="0"/>
              <w:jc w:val="left"/>
              <w:rPr>
                <w:rFonts w:ascii="Times New Roman" w:hAnsi="Times New Roman" w:eastAsia="宋体" w:cs="Times New Roman"/>
                <w:kern w:val="0"/>
                <w:sz w:val="20"/>
                <w:szCs w:val="20"/>
              </w:rPr>
            </w:pPr>
          </w:p>
        </w:tc>
        <w:tc>
          <w:tcPr>
            <w:tcW w:w="851" w:type="dxa"/>
            <w:tcBorders>
              <w:top w:val="nil"/>
              <w:left w:val="nil"/>
              <w:bottom w:val="single" w:color="auto" w:sz="4" w:space="0"/>
              <w:right w:val="single" w:color="auto" w:sz="4" w:space="0"/>
            </w:tcBorders>
            <w:shd w:val="clear" w:color="auto" w:fill="auto"/>
            <w:noWrap/>
            <w:vAlign w:val="center"/>
          </w:tcPr>
          <w:p w14:paraId="2B7CEDB0">
            <w:pPr>
              <w:widowControl/>
              <w:wordWrap w:val="0"/>
              <w:jc w:val="center"/>
              <w:rPr>
                <w:rFonts w:ascii="Times New Roman" w:hAnsi="Times New Roman" w:eastAsia="宋体" w:cs="Times New Roman"/>
                <w:kern w:val="0"/>
                <w:sz w:val="20"/>
                <w:szCs w:val="20"/>
              </w:rPr>
            </w:pPr>
            <w:r>
              <w:rPr>
                <w:rFonts w:hint="eastAsia" w:ascii="宋体" w:hAnsi="宋体" w:eastAsia="宋体" w:cs="Times New Roman"/>
                <w:kern w:val="0"/>
                <w:sz w:val="20"/>
                <w:szCs w:val="20"/>
              </w:rPr>
              <w:t>设备费</w:t>
            </w:r>
          </w:p>
        </w:tc>
        <w:tc>
          <w:tcPr>
            <w:tcW w:w="850" w:type="dxa"/>
            <w:tcBorders>
              <w:top w:val="nil"/>
              <w:left w:val="nil"/>
              <w:bottom w:val="single" w:color="auto" w:sz="4" w:space="0"/>
              <w:right w:val="single" w:color="auto" w:sz="4" w:space="0"/>
            </w:tcBorders>
            <w:shd w:val="clear" w:color="auto" w:fill="auto"/>
            <w:noWrap/>
            <w:vAlign w:val="center"/>
          </w:tcPr>
          <w:p w14:paraId="72B745E3">
            <w:pPr>
              <w:widowControl/>
              <w:wordWrap w:val="0"/>
              <w:jc w:val="center"/>
              <w:rPr>
                <w:rFonts w:ascii="Times New Roman" w:hAnsi="Times New Roman" w:eastAsia="宋体" w:cs="Times New Roman"/>
                <w:kern w:val="0"/>
                <w:sz w:val="20"/>
                <w:szCs w:val="20"/>
              </w:rPr>
            </w:pPr>
            <w:r>
              <w:rPr>
                <w:rFonts w:hint="eastAsia" w:ascii="宋体" w:hAnsi="宋体" w:eastAsia="宋体" w:cs="Times New Roman"/>
                <w:kern w:val="0"/>
                <w:sz w:val="20"/>
                <w:szCs w:val="20"/>
              </w:rPr>
              <w:t>安装费</w:t>
            </w:r>
          </w:p>
        </w:tc>
        <w:tc>
          <w:tcPr>
            <w:tcW w:w="1276" w:type="dxa"/>
            <w:tcBorders>
              <w:top w:val="nil"/>
              <w:left w:val="nil"/>
              <w:bottom w:val="single" w:color="auto" w:sz="4" w:space="0"/>
              <w:right w:val="single" w:color="auto" w:sz="4" w:space="0"/>
            </w:tcBorders>
            <w:shd w:val="clear" w:color="auto" w:fill="auto"/>
            <w:noWrap/>
            <w:vAlign w:val="center"/>
          </w:tcPr>
          <w:p w14:paraId="7C010435">
            <w:pPr>
              <w:widowControl/>
              <w:wordWrap w:val="0"/>
              <w:jc w:val="center"/>
              <w:rPr>
                <w:rFonts w:ascii="Times New Roman" w:hAnsi="Times New Roman" w:eastAsia="宋体" w:cs="Times New Roman"/>
                <w:kern w:val="0"/>
                <w:sz w:val="20"/>
                <w:szCs w:val="20"/>
              </w:rPr>
            </w:pPr>
            <w:r>
              <w:rPr>
                <w:rFonts w:hint="eastAsia" w:ascii="宋体" w:hAnsi="宋体" w:eastAsia="宋体" w:cs="Times New Roman"/>
                <w:kern w:val="0"/>
                <w:sz w:val="20"/>
                <w:szCs w:val="20"/>
              </w:rPr>
              <w:t>设备费</w:t>
            </w:r>
          </w:p>
        </w:tc>
        <w:tc>
          <w:tcPr>
            <w:tcW w:w="1134" w:type="dxa"/>
            <w:tcBorders>
              <w:top w:val="nil"/>
              <w:left w:val="nil"/>
              <w:bottom w:val="single" w:color="auto" w:sz="4" w:space="0"/>
              <w:right w:val="single" w:color="auto" w:sz="4" w:space="0"/>
            </w:tcBorders>
            <w:shd w:val="clear" w:color="auto" w:fill="auto"/>
            <w:noWrap/>
            <w:vAlign w:val="center"/>
          </w:tcPr>
          <w:p w14:paraId="4E0B5113">
            <w:pPr>
              <w:widowControl/>
              <w:wordWrap w:val="0"/>
              <w:jc w:val="center"/>
              <w:rPr>
                <w:rFonts w:ascii="Times New Roman" w:hAnsi="Times New Roman" w:eastAsia="宋体" w:cs="Times New Roman"/>
                <w:kern w:val="0"/>
                <w:sz w:val="20"/>
                <w:szCs w:val="20"/>
              </w:rPr>
            </w:pPr>
            <w:r>
              <w:rPr>
                <w:rFonts w:hint="eastAsia" w:ascii="宋体" w:hAnsi="宋体" w:eastAsia="宋体" w:cs="Times New Roman"/>
                <w:kern w:val="0"/>
                <w:sz w:val="20"/>
                <w:szCs w:val="20"/>
              </w:rPr>
              <w:t>安装费</w:t>
            </w:r>
          </w:p>
        </w:tc>
      </w:tr>
      <w:tr w14:paraId="101DDDCB">
        <w:tblPrEx>
          <w:tblCellMar>
            <w:top w:w="0" w:type="dxa"/>
            <w:left w:w="108" w:type="dxa"/>
            <w:bottom w:w="0" w:type="dxa"/>
            <w:right w:w="108" w:type="dxa"/>
          </w:tblCellMar>
        </w:tblPrEx>
        <w:trPr>
          <w:trHeight w:val="500"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572BF459">
            <w:pPr>
              <w:widowControl/>
              <w:wordWrap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一</w:t>
            </w:r>
          </w:p>
        </w:tc>
        <w:tc>
          <w:tcPr>
            <w:tcW w:w="4537" w:type="dxa"/>
            <w:tcBorders>
              <w:top w:val="nil"/>
              <w:left w:val="nil"/>
              <w:bottom w:val="single" w:color="auto" w:sz="4" w:space="0"/>
              <w:right w:val="single" w:color="auto" w:sz="4" w:space="0"/>
            </w:tcBorders>
            <w:shd w:val="clear" w:color="auto" w:fill="auto"/>
            <w:vAlign w:val="center"/>
          </w:tcPr>
          <w:p w14:paraId="4C49D1A0">
            <w:pPr>
              <w:widowControl/>
              <w:wordWrap w:val="0"/>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水源地水质净化</w:t>
            </w:r>
          </w:p>
        </w:tc>
        <w:tc>
          <w:tcPr>
            <w:tcW w:w="425" w:type="dxa"/>
            <w:tcBorders>
              <w:top w:val="nil"/>
              <w:left w:val="nil"/>
              <w:bottom w:val="single" w:color="auto" w:sz="4" w:space="0"/>
              <w:right w:val="single" w:color="auto" w:sz="4" w:space="0"/>
            </w:tcBorders>
            <w:shd w:val="clear" w:color="auto" w:fill="auto"/>
            <w:vAlign w:val="center"/>
          </w:tcPr>
          <w:p w14:paraId="46FBB20E">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w:t>
            </w:r>
          </w:p>
        </w:tc>
        <w:tc>
          <w:tcPr>
            <w:tcW w:w="425" w:type="dxa"/>
            <w:tcBorders>
              <w:top w:val="nil"/>
              <w:left w:val="nil"/>
              <w:bottom w:val="single" w:color="auto" w:sz="4" w:space="0"/>
              <w:right w:val="single" w:color="auto" w:sz="4" w:space="0"/>
            </w:tcBorders>
            <w:shd w:val="clear" w:color="auto" w:fill="auto"/>
            <w:vAlign w:val="center"/>
          </w:tcPr>
          <w:p w14:paraId="40EA8F23">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w:t>
            </w:r>
          </w:p>
        </w:tc>
        <w:tc>
          <w:tcPr>
            <w:tcW w:w="851" w:type="dxa"/>
            <w:tcBorders>
              <w:top w:val="nil"/>
              <w:left w:val="nil"/>
              <w:bottom w:val="single" w:color="auto" w:sz="4" w:space="0"/>
              <w:right w:val="single" w:color="auto" w:sz="4" w:space="0"/>
            </w:tcBorders>
            <w:shd w:val="clear" w:color="auto" w:fill="auto"/>
            <w:noWrap/>
            <w:vAlign w:val="center"/>
          </w:tcPr>
          <w:p w14:paraId="01821992">
            <w:pPr>
              <w:widowControl/>
              <w:wordWrap w:val="0"/>
              <w:jc w:val="center"/>
              <w:rPr>
                <w:rFonts w:ascii="Times New Roman" w:hAnsi="Times New Roman" w:eastAsia="宋体" w:cs="Times New Roman"/>
                <w:b/>
                <w:bCs/>
                <w:color w:val="FF0000"/>
                <w:kern w:val="0"/>
                <w:sz w:val="20"/>
                <w:szCs w:val="20"/>
              </w:rPr>
            </w:pPr>
            <w:r>
              <w:rPr>
                <w:rFonts w:ascii="Times New Roman" w:hAnsi="Times New Roman" w:eastAsia="宋体" w:cs="Times New Roman"/>
                <w:b/>
                <w:bCs/>
                <w:color w:val="FF0000"/>
                <w:kern w:val="0"/>
                <w:sz w:val="20"/>
                <w:szCs w:val="20"/>
              </w:rPr>
              <w:t>　</w:t>
            </w:r>
          </w:p>
        </w:tc>
        <w:tc>
          <w:tcPr>
            <w:tcW w:w="850" w:type="dxa"/>
            <w:tcBorders>
              <w:top w:val="nil"/>
              <w:left w:val="nil"/>
              <w:bottom w:val="single" w:color="auto" w:sz="4" w:space="0"/>
              <w:right w:val="single" w:color="auto" w:sz="4" w:space="0"/>
            </w:tcBorders>
            <w:shd w:val="clear" w:color="auto" w:fill="auto"/>
            <w:vAlign w:val="center"/>
          </w:tcPr>
          <w:p w14:paraId="771BA012">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w:t>
            </w:r>
          </w:p>
        </w:tc>
        <w:tc>
          <w:tcPr>
            <w:tcW w:w="1276" w:type="dxa"/>
            <w:tcBorders>
              <w:top w:val="nil"/>
              <w:left w:val="nil"/>
              <w:bottom w:val="single" w:color="auto" w:sz="4" w:space="0"/>
              <w:right w:val="single" w:color="auto" w:sz="4" w:space="0"/>
            </w:tcBorders>
            <w:shd w:val="clear" w:color="auto" w:fill="auto"/>
            <w:noWrap/>
            <w:vAlign w:val="center"/>
          </w:tcPr>
          <w:p w14:paraId="79D8CEEB">
            <w:pPr>
              <w:widowControl/>
              <w:wordWrap w:val="0"/>
              <w:jc w:val="center"/>
              <w:rPr>
                <w:rFonts w:ascii="Times New Roman" w:hAnsi="Times New Roman" w:eastAsia="宋体" w:cs="Times New Roman"/>
                <w:b/>
                <w:bCs/>
                <w:color w:val="000000"/>
                <w:kern w:val="0"/>
                <w:sz w:val="20"/>
                <w:szCs w:val="20"/>
              </w:rPr>
            </w:pPr>
            <w:r>
              <w:rPr>
                <w:rFonts w:ascii="Times New Roman" w:hAnsi="Times New Roman" w:eastAsia="宋体" w:cs="Times New Roman"/>
                <w:b/>
                <w:bCs/>
                <w:color w:val="000000"/>
                <w:kern w:val="0"/>
                <w:sz w:val="20"/>
                <w:szCs w:val="20"/>
              </w:rPr>
              <w:t>　</w:t>
            </w:r>
          </w:p>
        </w:tc>
        <w:tc>
          <w:tcPr>
            <w:tcW w:w="1134" w:type="dxa"/>
            <w:tcBorders>
              <w:top w:val="nil"/>
              <w:left w:val="nil"/>
              <w:bottom w:val="single" w:color="auto" w:sz="4" w:space="0"/>
              <w:right w:val="single" w:color="auto" w:sz="4" w:space="0"/>
            </w:tcBorders>
            <w:shd w:val="clear" w:color="auto" w:fill="auto"/>
            <w:vAlign w:val="center"/>
          </w:tcPr>
          <w:p w14:paraId="0D8706D5">
            <w:pPr>
              <w:widowControl/>
              <w:wordWrap w:val="0"/>
              <w:jc w:val="center"/>
              <w:rPr>
                <w:rFonts w:ascii="Times New Roman" w:hAnsi="Times New Roman" w:eastAsia="宋体" w:cs="Times New Roman"/>
                <w:b/>
                <w:bCs/>
                <w:color w:val="000000"/>
                <w:kern w:val="0"/>
                <w:sz w:val="20"/>
                <w:szCs w:val="20"/>
              </w:rPr>
            </w:pPr>
            <w:r>
              <w:rPr>
                <w:rFonts w:ascii="Times New Roman" w:hAnsi="Times New Roman" w:eastAsia="宋体" w:cs="Times New Roman"/>
                <w:b/>
                <w:bCs/>
                <w:color w:val="000000"/>
                <w:kern w:val="0"/>
                <w:sz w:val="20"/>
                <w:szCs w:val="20"/>
              </w:rPr>
              <w:t>　</w:t>
            </w:r>
          </w:p>
        </w:tc>
      </w:tr>
      <w:tr w14:paraId="0EFDF7E4">
        <w:tblPrEx>
          <w:tblCellMar>
            <w:top w:w="0" w:type="dxa"/>
            <w:left w:w="108" w:type="dxa"/>
            <w:bottom w:w="0" w:type="dxa"/>
            <w:right w:w="108" w:type="dxa"/>
          </w:tblCellMar>
        </w:tblPrEx>
        <w:trPr>
          <w:trHeight w:val="3678"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64D26200">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1</w:t>
            </w:r>
          </w:p>
        </w:tc>
        <w:tc>
          <w:tcPr>
            <w:tcW w:w="4537" w:type="dxa"/>
            <w:tcBorders>
              <w:top w:val="nil"/>
              <w:left w:val="nil"/>
              <w:bottom w:val="single" w:color="auto" w:sz="4" w:space="0"/>
              <w:right w:val="single" w:color="auto" w:sz="4" w:space="0"/>
            </w:tcBorders>
            <w:shd w:val="clear" w:color="auto" w:fill="auto"/>
            <w:vAlign w:val="center"/>
          </w:tcPr>
          <w:p w14:paraId="76068F1C">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不锈钢过滤器</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(1) 净水量：480m³/d</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(2) 原水浊度：≤1500mg/L，短期可达3000mg/L</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(3) 出水浊度：≤1mg/L（特殊情况≤3mg/L）</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(4) 反映时间：11.64min</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(5) 沉淀区上升流速：2.5mm/s</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(6) 过滤速度：11.05m/h</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(7) 滤料：均质石英砂滤料</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(8) 滤层高度：≥1m</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(9) 冲洗强度：12~16L/㎡·s</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(10) 冲洗时间： 5~8min</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(11) 最大水头损失：2.5m</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(12) 最小进水水头：8.0m</w:t>
            </w:r>
          </w:p>
        </w:tc>
        <w:tc>
          <w:tcPr>
            <w:tcW w:w="425" w:type="dxa"/>
            <w:tcBorders>
              <w:top w:val="nil"/>
              <w:left w:val="nil"/>
              <w:bottom w:val="single" w:color="auto" w:sz="4" w:space="0"/>
              <w:right w:val="single" w:color="auto" w:sz="4" w:space="0"/>
            </w:tcBorders>
            <w:shd w:val="clear" w:color="auto" w:fill="auto"/>
            <w:noWrap/>
            <w:vAlign w:val="center"/>
          </w:tcPr>
          <w:p w14:paraId="74AD21B3">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台</w:t>
            </w:r>
          </w:p>
        </w:tc>
        <w:tc>
          <w:tcPr>
            <w:tcW w:w="425" w:type="dxa"/>
            <w:tcBorders>
              <w:top w:val="nil"/>
              <w:left w:val="nil"/>
              <w:bottom w:val="single" w:color="auto" w:sz="4" w:space="0"/>
              <w:right w:val="single" w:color="auto" w:sz="4" w:space="0"/>
            </w:tcBorders>
            <w:shd w:val="clear" w:color="auto" w:fill="auto"/>
            <w:noWrap/>
            <w:vAlign w:val="center"/>
          </w:tcPr>
          <w:p w14:paraId="30F2CC09">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1</w:t>
            </w:r>
          </w:p>
        </w:tc>
        <w:tc>
          <w:tcPr>
            <w:tcW w:w="851" w:type="dxa"/>
            <w:tcBorders>
              <w:top w:val="nil"/>
              <w:left w:val="nil"/>
              <w:bottom w:val="single" w:color="auto" w:sz="4" w:space="0"/>
              <w:right w:val="single" w:color="auto" w:sz="4" w:space="0"/>
            </w:tcBorders>
            <w:shd w:val="clear" w:color="auto" w:fill="auto"/>
            <w:noWrap/>
            <w:vAlign w:val="center"/>
          </w:tcPr>
          <w:p w14:paraId="6D8A406C">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150000.00 </w:t>
            </w:r>
          </w:p>
        </w:tc>
        <w:tc>
          <w:tcPr>
            <w:tcW w:w="850" w:type="dxa"/>
            <w:tcBorders>
              <w:top w:val="nil"/>
              <w:left w:val="nil"/>
              <w:bottom w:val="single" w:color="auto" w:sz="4" w:space="0"/>
              <w:right w:val="single" w:color="auto" w:sz="4" w:space="0"/>
            </w:tcBorders>
            <w:shd w:val="clear" w:color="auto" w:fill="auto"/>
            <w:noWrap/>
            <w:vAlign w:val="center"/>
          </w:tcPr>
          <w:p w14:paraId="6BD65030">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50000.00 </w:t>
            </w:r>
          </w:p>
        </w:tc>
        <w:tc>
          <w:tcPr>
            <w:tcW w:w="1276" w:type="dxa"/>
            <w:tcBorders>
              <w:top w:val="nil"/>
              <w:left w:val="nil"/>
              <w:bottom w:val="single" w:color="auto" w:sz="4" w:space="0"/>
              <w:right w:val="single" w:color="auto" w:sz="4" w:space="0"/>
            </w:tcBorders>
            <w:shd w:val="clear" w:color="auto" w:fill="auto"/>
            <w:noWrap/>
            <w:vAlign w:val="center"/>
          </w:tcPr>
          <w:p w14:paraId="17CF4371">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150000.00 </w:t>
            </w:r>
          </w:p>
        </w:tc>
        <w:tc>
          <w:tcPr>
            <w:tcW w:w="1134" w:type="dxa"/>
            <w:tcBorders>
              <w:top w:val="nil"/>
              <w:left w:val="nil"/>
              <w:bottom w:val="single" w:color="auto" w:sz="4" w:space="0"/>
              <w:right w:val="single" w:color="auto" w:sz="4" w:space="0"/>
            </w:tcBorders>
            <w:shd w:val="clear" w:color="auto" w:fill="auto"/>
            <w:noWrap/>
            <w:vAlign w:val="center"/>
          </w:tcPr>
          <w:p w14:paraId="055AFF3A">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50000.00 </w:t>
            </w:r>
          </w:p>
        </w:tc>
      </w:tr>
      <w:tr w14:paraId="66B3A0B9">
        <w:tblPrEx>
          <w:tblCellMar>
            <w:top w:w="0" w:type="dxa"/>
            <w:left w:w="108" w:type="dxa"/>
            <w:bottom w:w="0" w:type="dxa"/>
            <w:right w:w="108" w:type="dxa"/>
          </w:tblCellMar>
        </w:tblPrEx>
        <w:trPr>
          <w:trHeight w:val="500" w:hRule="atLeast"/>
        </w:trPr>
        <w:tc>
          <w:tcPr>
            <w:tcW w:w="567" w:type="dxa"/>
            <w:tcBorders>
              <w:top w:val="nil"/>
              <w:left w:val="single" w:color="auto" w:sz="4" w:space="0"/>
              <w:bottom w:val="single" w:color="auto" w:sz="4" w:space="0"/>
              <w:right w:val="single" w:color="auto" w:sz="4" w:space="0"/>
            </w:tcBorders>
            <w:shd w:val="clear" w:color="auto" w:fill="auto"/>
            <w:noWrap/>
            <w:vAlign w:val="bottom"/>
          </w:tcPr>
          <w:p w14:paraId="401B9290">
            <w:pPr>
              <w:widowControl/>
              <w:wordWrap w:val="0"/>
              <w:jc w:val="lef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w:t>
            </w:r>
          </w:p>
        </w:tc>
        <w:tc>
          <w:tcPr>
            <w:tcW w:w="4537" w:type="dxa"/>
            <w:tcBorders>
              <w:top w:val="nil"/>
              <w:left w:val="nil"/>
              <w:bottom w:val="single" w:color="auto" w:sz="4" w:space="0"/>
              <w:right w:val="single" w:color="auto" w:sz="4" w:space="0"/>
            </w:tcBorders>
            <w:shd w:val="clear" w:color="auto" w:fill="auto"/>
            <w:noWrap/>
            <w:vAlign w:val="center"/>
          </w:tcPr>
          <w:p w14:paraId="7CD262A5">
            <w:pPr>
              <w:widowControl/>
              <w:wordWrap w:val="0"/>
              <w:jc w:val="left"/>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小计1</w:t>
            </w:r>
          </w:p>
        </w:tc>
        <w:tc>
          <w:tcPr>
            <w:tcW w:w="425" w:type="dxa"/>
            <w:tcBorders>
              <w:top w:val="nil"/>
              <w:left w:val="nil"/>
              <w:bottom w:val="single" w:color="auto" w:sz="4" w:space="0"/>
              <w:right w:val="single" w:color="auto" w:sz="4" w:space="0"/>
            </w:tcBorders>
            <w:shd w:val="clear" w:color="auto" w:fill="auto"/>
            <w:noWrap/>
            <w:vAlign w:val="center"/>
          </w:tcPr>
          <w:p w14:paraId="2E1F46F5">
            <w:pPr>
              <w:widowControl/>
              <w:wordWrap w:val="0"/>
              <w:jc w:val="center"/>
              <w:rPr>
                <w:rFonts w:ascii="Times New Roman" w:hAnsi="Times New Roman" w:eastAsia="宋体" w:cs="Times New Roman"/>
                <w:b/>
                <w:bCs/>
                <w:color w:val="000000"/>
                <w:kern w:val="0"/>
                <w:sz w:val="20"/>
                <w:szCs w:val="20"/>
              </w:rPr>
            </w:pPr>
            <w:r>
              <w:rPr>
                <w:rFonts w:ascii="Times New Roman" w:hAnsi="Times New Roman" w:eastAsia="宋体" w:cs="Times New Roman"/>
                <w:b/>
                <w:bCs/>
                <w:color w:val="000000"/>
                <w:kern w:val="0"/>
                <w:sz w:val="20"/>
                <w:szCs w:val="20"/>
              </w:rPr>
              <w:t>　</w:t>
            </w:r>
          </w:p>
        </w:tc>
        <w:tc>
          <w:tcPr>
            <w:tcW w:w="425" w:type="dxa"/>
            <w:tcBorders>
              <w:top w:val="nil"/>
              <w:left w:val="nil"/>
              <w:bottom w:val="single" w:color="auto" w:sz="4" w:space="0"/>
              <w:right w:val="single" w:color="auto" w:sz="4" w:space="0"/>
            </w:tcBorders>
            <w:shd w:val="clear" w:color="auto" w:fill="auto"/>
            <w:noWrap/>
            <w:vAlign w:val="center"/>
          </w:tcPr>
          <w:p w14:paraId="00F1F7F4">
            <w:pPr>
              <w:widowControl/>
              <w:wordWrap w:val="0"/>
              <w:jc w:val="center"/>
              <w:rPr>
                <w:rFonts w:ascii="Times New Roman" w:hAnsi="Times New Roman" w:eastAsia="宋体" w:cs="Times New Roman"/>
                <w:b/>
                <w:bCs/>
                <w:color w:val="000000"/>
                <w:kern w:val="0"/>
                <w:sz w:val="20"/>
                <w:szCs w:val="20"/>
              </w:rPr>
            </w:pPr>
            <w:r>
              <w:rPr>
                <w:rFonts w:ascii="Times New Roman" w:hAnsi="Times New Roman" w:eastAsia="宋体" w:cs="Times New Roman"/>
                <w:b/>
                <w:bCs/>
                <w:color w:val="000000"/>
                <w:kern w:val="0"/>
                <w:sz w:val="20"/>
                <w:szCs w:val="20"/>
              </w:rPr>
              <w:t>　</w:t>
            </w:r>
          </w:p>
        </w:tc>
        <w:tc>
          <w:tcPr>
            <w:tcW w:w="851" w:type="dxa"/>
            <w:tcBorders>
              <w:top w:val="nil"/>
              <w:left w:val="nil"/>
              <w:bottom w:val="single" w:color="auto" w:sz="4" w:space="0"/>
              <w:right w:val="single" w:color="auto" w:sz="4" w:space="0"/>
            </w:tcBorders>
            <w:shd w:val="clear" w:color="auto" w:fill="auto"/>
            <w:noWrap/>
            <w:vAlign w:val="center"/>
          </w:tcPr>
          <w:p w14:paraId="5DC20209">
            <w:pPr>
              <w:widowControl/>
              <w:wordWrap w:val="0"/>
              <w:jc w:val="center"/>
              <w:rPr>
                <w:rFonts w:ascii="Times New Roman" w:hAnsi="Times New Roman" w:eastAsia="宋体" w:cs="Times New Roman"/>
                <w:b/>
                <w:bCs/>
                <w:color w:val="000000"/>
                <w:kern w:val="0"/>
                <w:sz w:val="20"/>
                <w:szCs w:val="20"/>
              </w:rPr>
            </w:pPr>
            <w:r>
              <w:rPr>
                <w:rFonts w:ascii="Times New Roman" w:hAnsi="Times New Roman" w:eastAsia="宋体" w:cs="Times New Roman"/>
                <w:b/>
                <w:bCs/>
                <w:color w:val="000000"/>
                <w:kern w:val="0"/>
                <w:sz w:val="20"/>
                <w:szCs w:val="20"/>
              </w:rPr>
              <w:t>　</w:t>
            </w:r>
          </w:p>
        </w:tc>
        <w:tc>
          <w:tcPr>
            <w:tcW w:w="850" w:type="dxa"/>
            <w:tcBorders>
              <w:top w:val="nil"/>
              <w:left w:val="nil"/>
              <w:bottom w:val="single" w:color="auto" w:sz="4" w:space="0"/>
              <w:right w:val="single" w:color="auto" w:sz="4" w:space="0"/>
            </w:tcBorders>
            <w:shd w:val="clear" w:color="auto" w:fill="auto"/>
            <w:noWrap/>
            <w:vAlign w:val="center"/>
          </w:tcPr>
          <w:p w14:paraId="76D50E86">
            <w:pPr>
              <w:widowControl/>
              <w:wordWrap w:val="0"/>
              <w:jc w:val="center"/>
              <w:rPr>
                <w:rFonts w:ascii="Times New Roman" w:hAnsi="Times New Roman" w:eastAsia="宋体" w:cs="Times New Roman"/>
                <w:b/>
                <w:bCs/>
                <w:color w:val="000000"/>
                <w:kern w:val="0"/>
                <w:sz w:val="20"/>
                <w:szCs w:val="20"/>
              </w:rPr>
            </w:pPr>
            <w:r>
              <w:rPr>
                <w:rFonts w:ascii="Times New Roman" w:hAnsi="Times New Roman" w:eastAsia="宋体" w:cs="Times New Roman"/>
                <w:b/>
                <w:bCs/>
                <w:color w:val="000000"/>
                <w:kern w:val="0"/>
                <w:sz w:val="20"/>
                <w:szCs w:val="20"/>
              </w:rPr>
              <w:t>　</w:t>
            </w:r>
          </w:p>
        </w:tc>
        <w:tc>
          <w:tcPr>
            <w:tcW w:w="1276" w:type="dxa"/>
            <w:tcBorders>
              <w:top w:val="nil"/>
              <w:left w:val="nil"/>
              <w:bottom w:val="single" w:color="auto" w:sz="4" w:space="0"/>
              <w:right w:val="single" w:color="auto" w:sz="4" w:space="0"/>
            </w:tcBorders>
            <w:shd w:val="clear" w:color="auto" w:fill="auto"/>
            <w:noWrap/>
            <w:vAlign w:val="center"/>
          </w:tcPr>
          <w:p w14:paraId="669B2EA0">
            <w:pPr>
              <w:widowControl/>
              <w:wordWrap w:val="0"/>
              <w:jc w:val="right"/>
              <w:rPr>
                <w:rFonts w:ascii="Times New Roman" w:hAnsi="Times New Roman" w:eastAsia="宋体" w:cs="Times New Roman"/>
                <w:b/>
                <w:bCs/>
                <w:color w:val="000000"/>
                <w:kern w:val="0"/>
                <w:sz w:val="20"/>
                <w:szCs w:val="20"/>
              </w:rPr>
            </w:pPr>
            <w:r>
              <w:rPr>
                <w:rFonts w:ascii="Times New Roman" w:hAnsi="Times New Roman" w:eastAsia="宋体" w:cs="Times New Roman"/>
                <w:b/>
                <w:bCs/>
                <w:color w:val="000000"/>
                <w:kern w:val="0"/>
                <w:sz w:val="20"/>
                <w:szCs w:val="20"/>
              </w:rPr>
              <w:t>150000.00</w:t>
            </w:r>
          </w:p>
        </w:tc>
        <w:tc>
          <w:tcPr>
            <w:tcW w:w="1134" w:type="dxa"/>
            <w:tcBorders>
              <w:top w:val="nil"/>
              <w:left w:val="nil"/>
              <w:bottom w:val="single" w:color="auto" w:sz="4" w:space="0"/>
              <w:right w:val="single" w:color="auto" w:sz="4" w:space="0"/>
            </w:tcBorders>
            <w:shd w:val="clear" w:color="auto" w:fill="auto"/>
            <w:noWrap/>
            <w:vAlign w:val="center"/>
          </w:tcPr>
          <w:p w14:paraId="6A58AB61">
            <w:pPr>
              <w:widowControl/>
              <w:wordWrap w:val="0"/>
              <w:jc w:val="right"/>
              <w:rPr>
                <w:rFonts w:ascii="Times New Roman" w:hAnsi="Times New Roman" w:eastAsia="宋体" w:cs="Times New Roman"/>
                <w:b/>
                <w:bCs/>
                <w:color w:val="000000"/>
                <w:kern w:val="0"/>
                <w:sz w:val="20"/>
                <w:szCs w:val="20"/>
              </w:rPr>
            </w:pPr>
            <w:r>
              <w:rPr>
                <w:rFonts w:ascii="Times New Roman" w:hAnsi="Times New Roman" w:eastAsia="宋体" w:cs="Times New Roman"/>
                <w:b/>
                <w:bCs/>
                <w:color w:val="000000"/>
                <w:kern w:val="0"/>
                <w:sz w:val="20"/>
                <w:szCs w:val="20"/>
              </w:rPr>
              <w:t>50000.00</w:t>
            </w:r>
          </w:p>
        </w:tc>
      </w:tr>
      <w:tr w14:paraId="3A816034">
        <w:tblPrEx>
          <w:tblCellMar>
            <w:top w:w="0" w:type="dxa"/>
            <w:left w:w="108" w:type="dxa"/>
            <w:bottom w:w="0" w:type="dxa"/>
            <w:right w:w="108" w:type="dxa"/>
          </w:tblCellMar>
        </w:tblPrEx>
        <w:trPr>
          <w:trHeight w:val="500"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1429B60C">
            <w:pPr>
              <w:widowControl/>
              <w:wordWrap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二</w:t>
            </w:r>
          </w:p>
        </w:tc>
        <w:tc>
          <w:tcPr>
            <w:tcW w:w="4537" w:type="dxa"/>
            <w:tcBorders>
              <w:top w:val="nil"/>
              <w:left w:val="nil"/>
              <w:bottom w:val="single" w:color="auto" w:sz="4" w:space="0"/>
              <w:right w:val="single" w:color="auto" w:sz="4" w:space="0"/>
            </w:tcBorders>
            <w:shd w:val="clear" w:color="auto" w:fill="auto"/>
            <w:vAlign w:val="center"/>
          </w:tcPr>
          <w:p w14:paraId="1F399FDC">
            <w:pPr>
              <w:widowControl/>
              <w:wordWrap w:val="0"/>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水源地水质在线监测及视频联动报警</w:t>
            </w:r>
          </w:p>
        </w:tc>
        <w:tc>
          <w:tcPr>
            <w:tcW w:w="425" w:type="dxa"/>
            <w:tcBorders>
              <w:top w:val="nil"/>
              <w:left w:val="nil"/>
              <w:bottom w:val="single" w:color="auto" w:sz="4" w:space="0"/>
              <w:right w:val="single" w:color="auto" w:sz="4" w:space="0"/>
            </w:tcBorders>
            <w:shd w:val="clear" w:color="auto" w:fill="auto"/>
            <w:vAlign w:val="center"/>
          </w:tcPr>
          <w:p w14:paraId="00B688ED">
            <w:pPr>
              <w:widowControl/>
              <w:wordWrap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　</w:t>
            </w:r>
          </w:p>
        </w:tc>
        <w:tc>
          <w:tcPr>
            <w:tcW w:w="425" w:type="dxa"/>
            <w:tcBorders>
              <w:top w:val="nil"/>
              <w:left w:val="nil"/>
              <w:bottom w:val="single" w:color="auto" w:sz="4" w:space="0"/>
              <w:right w:val="single" w:color="auto" w:sz="4" w:space="0"/>
            </w:tcBorders>
            <w:shd w:val="clear" w:color="auto" w:fill="auto"/>
            <w:vAlign w:val="center"/>
          </w:tcPr>
          <w:p w14:paraId="75AFA2F1">
            <w:pPr>
              <w:widowControl/>
              <w:wordWrap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　</w:t>
            </w:r>
          </w:p>
        </w:tc>
        <w:tc>
          <w:tcPr>
            <w:tcW w:w="851" w:type="dxa"/>
            <w:tcBorders>
              <w:top w:val="nil"/>
              <w:left w:val="nil"/>
              <w:bottom w:val="single" w:color="auto" w:sz="4" w:space="0"/>
              <w:right w:val="single" w:color="auto" w:sz="4" w:space="0"/>
            </w:tcBorders>
            <w:shd w:val="clear" w:color="auto" w:fill="auto"/>
            <w:noWrap/>
            <w:vAlign w:val="center"/>
          </w:tcPr>
          <w:p w14:paraId="6E0AF641">
            <w:pPr>
              <w:widowControl/>
              <w:wordWrap w:val="0"/>
              <w:jc w:val="center"/>
              <w:rPr>
                <w:rFonts w:ascii="Times New Roman" w:hAnsi="Times New Roman" w:eastAsia="宋体" w:cs="Times New Roman"/>
                <w:b/>
                <w:bCs/>
                <w:color w:val="FF0000"/>
                <w:kern w:val="0"/>
                <w:sz w:val="20"/>
                <w:szCs w:val="20"/>
              </w:rPr>
            </w:pPr>
            <w:r>
              <w:rPr>
                <w:rFonts w:ascii="Times New Roman" w:hAnsi="Times New Roman" w:eastAsia="宋体" w:cs="Times New Roman"/>
                <w:b/>
                <w:bCs/>
                <w:color w:val="FF0000"/>
                <w:kern w:val="0"/>
                <w:sz w:val="20"/>
                <w:szCs w:val="20"/>
              </w:rPr>
              <w:t>　</w:t>
            </w:r>
          </w:p>
        </w:tc>
        <w:tc>
          <w:tcPr>
            <w:tcW w:w="850" w:type="dxa"/>
            <w:tcBorders>
              <w:top w:val="nil"/>
              <w:left w:val="nil"/>
              <w:bottom w:val="single" w:color="auto" w:sz="4" w:space="0"/>
              <w:right w:val="single" w:color="auto" w:sz="4" w:space="0"/>
            </w:tcBorders>
            <w:shd w:val="clear" w:color="auto" w:fill="auto"/>
            <w:vAlign w:val="center"/>
          </w:tcPr>
          <w:p w14:paraId="359606FD">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w:t>
            </w:r>
          </w:p>
        </w:tc>
        <w:tc>
          <w:tcPr>
            <w:tcW w:w="1276" w:type="dxa"/>
            <w:tcBorders>
              <w:top w:val="nil"/>
              <w:left w:val="nil"/>
              <w:bottom w:val="single" w:color="auto" w:sz="4" w:space="0"/>
              <w:right w:val="single" w:color="auto" w:sz="4" w:space="0"/>
            </w:tcBorders>
            <w:shd w:val="clear" w:color="auto" w:fill="auto"/>
            <w:noWrap/>
            <w:vAlign w:val="center"/>
          </w:tcPr>
          <w:p w14:paraId="5796D6A0">
            <w:pPr>
              <w:widowControl/>
              <w:wordWrap w:val="0"/>
              <w:jc w:val="center"/>
              <w:rPr>
                <w:rFonts w:ascii="Times New Roman" w:hAnsi="Times New Roman" w:eastAsia="宋体" w:cs="Times New Roman"/>
                <w:b/>
                <w:bCs/>
                <w:color w:val="000000"/>
                <w:kern w:val="0"/>
                <w:sz w:val="20"/>
                <w:szCs w:val="20"/>
              </w:rPr>
            </w:pPr>
            <w:r>
              <w:rPr>
                <w:rFonts w:ascii="Times New Roman" w:hAnsi="Times New Roman" w:eastAsia="宋体" w:cs="Times New Roman"/>
                <w:b/>
                <w:bCs/>
                <w:color w:val="000000"/>
                <w:kern w:val="0"/>
                <w:sz w:val="20"/>
                <w:szCs w:val="20"/>
              </w:rPr>
              <w:t>　</w:t>
            </w:r>
          </w:p>
        </w:tc>
        <w:tc>
          <w:tcPr>
            <w:tcW w:w="1134" w:type="dxa"/>
            <w:tcBorders>
              <w:top w:val="nil"/>
              <w:left w:val="nil"/>
              <w:bottom w:val="single" w:color="auto" w:sz="4" w:space="0"/>
              <w:right w:val="single" w:color="auto" w:sz="4" w:space="0"/>
            </w:tcBorders>
            <w:shd w:val="clear" w:color="auto" w:fill="auto"/>
            <w:vAlign w:val="center"/>
          </w:tcPr>
          <w:p w14:paraId="50B4933D">
            <w:pPr>
              <w:widowControl/>
              <w:wordWrap w:val="0"/>
              <w:jc w:val="center"/>
              <w:rPr>
                <w:rFonts w:ascii="Times New Roman" w:hAnsi="Times New Roman" w:eastAsia="宋体" w:cs="Times New Roman"/>
                <w:b/>
                <w:bCs/>
                <w:color w:val="000000"/>
                <w:kern w:val="0"/>
                <w:sz w:val="20"/>
                <w:szCs w:val="20"/>
              </w:rPr>
            </w:pPr>
            <w:r>
              <w:rPr>
                <w:rFonts w:ascii="Times New Roman" w:hAnsi="Times New Roman" w:eastAsia="宋体" w:cs="Times New Roman"/>
                <w:b/>
                <w:bCs/>
                <w:color w:val="000000"/>
                <w:kern w:val="0"/>
                <w:sz w:val="20"/>
                <w:szCs w:val="20"/>
              </w:rPr>
              <w:t>　</w:t>
            </w:r>
          </w:p>
        </w:tc>
      </w:tr>
      <w:tr w14:paraId="28C591B8">
        <w:tblPrEx>
          <w:tblCellMar>
            <w:top w:w="0" w:type="dxa"/>
            <w:left w:w="108" w:type="dxa"/>
            <w:bottom w:w="0" w:type="dxa"/>
            <w:right w:w="108" w:type="dxa"/>
          </w:tblCellMar>
        </w:tblPrEx>
        <w:trPr>
          <w:trHeight w:val="7072"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10548AF4">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1</w:t>
            </w:r>
          </w:p>
        </w:tc>
        <w:tc>
          <w:tcPr>
            <w:tcW w:w="4537" w:type="dxa"/>
            <w:tcBorders>
              <w:top w:val="nil"/>
              <w:left w:val="nil"/>
              <w:bottom w:val="single" w:color="auto" w:sz="4" w:space="0"/>
              <w:right w:val="single" w:color="auto" w:sz="4" w:space="0"/>
            </w:tcBorders>
            <w:shd w:val="clear" w:color="auto" w:fill="auto"/>
            <w:vAlign w:val="center"/>
          </w:tcPr>
          <w:p w14:paraId="166360E0">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数据采集传输装置</w:t>
            </w:r>
            <w:r>
              <w:rPr>
                <w:rFonts w:hint="eastAsia" w:ascii="宋体" w:hAnsi="宋体" w:eastAsia="宋体" w:cs="宋体"/>
                <w:color w:val="000000"/>
                <w:kern w:val="0"/>
                <w:sz w:val="20"/>
                <w:szCs w:val="20"/>
              </w:rPr>
              <w:br w:type="page"/>
            </w:r>
          </w:p>
          <w:p w14:paraId="02019E29">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t>(1) 工作电压：5-16V DC</w:t>
            </w:r>
            <w:r>
              <w:rPr>
                <w:rFonts w:hint="eastAsia" w:ascii="宋体" w:hAnsi="宋体" w:eastAsia="宋体" w:cs="宋体"/>
                <w:color w:val="000000"/>
                <w:kern w:val="0"/>
                <w:sz w:val="20"/>
                <w:szCs w:val="20"/>
              </w:rPr>
              <w:br w:type="page"/>
            </w:r>
          </w:p>
          <w:p w14:paraId="636A5A22">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t>(2) 设备功耗：&lt;3W</w:t>
            </w:r>
            <w:r>
              <w:rPr>
                <w:rFonts w:hint="eastAsia" w:ascii="宋体" w:hAnsi="宋体" w:eastAsia="宋体" w:cs="宋体"/>
                <w:color w:val="000000"/>
                <w:kern w:val="0"/>
                <w:sz w:val="20"/>
                <w:szCs w:val="20"/>
              </w:rPr>
              <w:br w:type="page"/>
            </w:r>
          </w:p>
          <w:p w14:paraId="5682BA6D">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t>(3) RS485接口：1个</w:t>
            </w:r>
            <w:r>
              <w:rPr>
                <w:rFonts w:hint="eastAsia" w:ascii="宋体" w:hAnsi="宋体" w:eastAsia="宋体" w:cs="宋体"/>
                <w:color w:val="000000"/>
                <w:kern w:val="0"/>
                <w:sz w:val="20"/>
                <w:szCs w:val="20"/>
              </w:rPr>
              <w:br w:type="page"/>
            </w:r>
          </w:p>
          <w:p w14:paraId="7EF2B682">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t>(4) RS485波特率：1200、2400、4800、9600、19200、115200等常见波特率，默认9600</w:t>
            </w:r>
          </w:p>
          <w:p w14:paraId="6C5D8243">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(5) RS232接口：1个</w:t>
            </w:r>
            <w:r>
              <w:rPr>
                <w:rFonts w:hint="eastAsia" w:ascii="宋体" w:hAnsi="宋体" w:eastAsia="宋体" w:cs="宋体"/>
                <w:color w:val="000000"/>
                <w:kern w:val="0"/>
                <w:sz w:val="20"/>
                <w:szCs w:val="20"/>
              </w:rPr>
              <w:br w:type="page"/>
            </w:r>
          </w:p>
          <w:p w14:paraId="76D22350">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t>(6) 支持8路常开2脚继电器输出(交流220V/5A，直流30V/5A继电器)</w:t>
            </w:r>
            <w:r>
              <w:rPr>
                <w:rFonts w:hint="eastAsia" w:ascii="宋体" w:hAnsi="宋体" w:eastAsia="宋体" w:cs="宋体"/>
                <w:color w:val="000000"/>
                <w:kern w:val="0"/>
                <w:sz w:val="20"/>
                <w:szCs w:val="20"/>
              </w:rPr>
              <w:br w:type="page"/>
            </w:r>
          </w:p>
          <w:p w14:paraId="2EDB06BD">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t>(7) 支持8路光耦隔离输入(3~30V电压检查)</w:t>
            </w:r>
          </w:p>
          <w:p w14:paraId="3120ADF8">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(8) 以太网接口：1个</w:t>
            </w:r>
          </w:p>
          <w:p w14:paraId="0A621070">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(9) 以太网速率：10M/100M</w:t>
            </w:r>
            <w:r>
              <w:rPr>
                <w:rFonts w:hint="eastAsia" w:ascii="宋体" w:hAnsi="宋体" w:eastAsia="宋体" w:cs="宋体"/>
                <w:color w:val="000000"/>
                <w:kern w:val="0"/>
                <w:sz w:val="20"/>
                <w:szCs w:val="20"/>
              </w:rPr>
              <w:br w:type="page"/>
            </w:r>
          </w:p>
          <w:p w14:paraId="52B7B0A7">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t>(10) 以太网网络协议：IP、TCP/UDP、ARP、ICMP、IPV4</w:t>
            </w:r>
          </w:p>
          <w:p w14:paraId="76F85523">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(11) 以太网IP 获取方式：静态 IP、DHCP</w:t>
            </w:r>
          </w:p>
          <w:p w14:paraId="4E256A1F">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(12) 以太网连接方式：TCP Server/TCP Client/UDP Server/UDP Client/Httpd Client</w:t>
            </w:r>
            <w:r>
              <w:rPr>
                <w:rFonts w:hint="eastAsia" w:ascii="宋体" w:hAnsi="宋体" w:eastAsia="宋体" w:cs="宋体"/>
                <w:color w:val="000000"/>
                <w:kern w:val="0"/>
                <w:sz w:val="20"/>
                <w:szCs w:val="20"/>
              </w:rPr>
              <w:br w:type="page"/>
            </w:r>
          </w:p>
          <w:p w14:paraId="1A6F2E0B">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t>(13) 无线通信：4G CAT1</w:t>
            </w:r>
          </w:p>
          <w:p w14:paraId="38734AA4">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(14) 支持频段：LTE-FDD： B1/B3/B5/B8；LTE-TDD： B34/B38/B39/B40/B41</w:t>
            </w:r>
          </w:p>
          <w:p w14:paraId="281F5AAE">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(15) 传输速率：LTE-TDD: 上下行配比2   最大8Mbps(DL)/最大2Mbps(UL)，上下行配比1   最大6Mbps(DL)/最大4Mbps(UL)；LTE-FDD: 最大10Mbps(DL)/最大5Mbps(UL)</w:t>
            </w:r>
          </w:p>
          <w:p w14:paraId="087109EE">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(16) 支持OTA在线升级</w:t>
            </w:r>
          </w:p>
          <w:p w14:paraId="730FD8B6">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(17) 支持输入电平周期上报和预警上报</w:t>
            </w:r>
          </w:p>
          <w:p w14:paraId="7D88279F">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(18) 支持定位信息周期上报</w:t>
            </w:r>
          </w:p>
        </w:tc>
        <w:tc>
          <w:tcPr>
            <w:tcW w:w="425" w:type="dxa"/>
            <w:tcBorders>
              <w:top w:val="nil"/>
              <w:left w:val="nil"/>
              <w:bottom w:val="single" w:color="auto" w:sz="4" w:space="0"/>
              <w:right w:val="single" w:color="auto" w:sz="4" w:space="0"/>
            </w:tcBorders>
            <w:shd w:val="clear" w:color="auto" w:fill="auto"/>
            <w:noWrap/>
            <w:vAlign w:val="center"/>
          </w:tcPr>
          <w:p w14:paraId="6B64EC14">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台</w:t>
            </w:r>
          </w:p>
        </w:tc>
        <w:tc>
          <w:tcPr>
            <w:tcW w:w="425" w:type="dxa"/>
            <w:tcBorders>
              <w:top w:val="nil"/>
              <w:left w:val="nil"/>
              <w:bottom w:val="single" w:color="auto" w:sz="4" w:space="0"/>
              <w:right w:val="single" w:color="auto" w:sz="4" w:space="0"/>
            </w:tcBorders>
            <w:shd w:val="clear" w:color="auto" w:fill="auto"/>
            <w:noWrap/>
            <w:vAlign w:val="center"/>
          </w:tcPr>
          <w:p w14:paraId="19C1BC12">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14</w:t>
            </w:r>
          </w:p>
        </w:tc>
        <w:tc>
          <w:tcPr>
            <w:tcW w:w="851" w:type="dxa"/>
            <w:tcBorders>
              <w:top w:val="nil"/>
              <w:left w:val="nil"/>
              <w:bottom w:val="single" w:color="auto" w:sz="4" w:space="0"/>
              <w:right w:val="single" w:color="auto" w:sz="4" w:space="0"/>
            </w:tcBorders>
            <w:shd w:val="clear" w:color="auto" w:fill="auto"/>
            <w:noWrap/>
            <w:vAlign w:val="center"/>
          </w:tcPr>
          <w:p w14:paraId="3858BB4F">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4500.00 </w:t>
            </w:r>
          </w:p>
        </w:tc>
        <w:tc>
          <w:tcPr>
            <w:tcW w:w="850" w:type="dxa"/>
            <w:tcBorders>
              <w:top w:val="nil"/>
              <w:left w:val="nil"/>
              <w:bottom w:val="single" w:color="auto" w:sz="4" w:space="0"/>
              <w:right w:val="single" w:color="auto" w:sz="4" w:space="0"/>
            </w:tcBorders>
            <w:shd w:val="clear" w:color="auto" w:fill="auto"/>
            <w:noWrap/>
            <w:vAlign w:val="center"/>
          </w:tcPr>
          <w:p w14:paraId="3F168517">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2000.00 </w:t>
            </w:r>
          </w:p>
        </w:tc>
        <w:tc>
          <w:tcPr>
            <w:tcW w:w="1276" w:type="dxa"/>
            <w:tcBorders>
              <w:top w:val="nil"/>
              <w:left w:val="nil"/>
              <w:bottom w:val="single" w:color="auto" w:sz="4" w:space="0"/>
              <w:right w:val="single" w:color="auto" w:sz="4" w:space="0"/>
            </w:tcBorders>
            <w:shd w:val="clear" w:color="auto" w:fill="auto"/>
            <w:noWrap/>
            <w:vAlign w:val="center"/>
          </w:tcPr>
          <w:p w14:paraId="5DFC9075">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63000.00 </w:t>
            </w:r>
          </w:p>
        </w:tc>
        <w:tc>
          <w:tcPr>
            <w:tcW w:w="1134" w:type="dxa"/>
            <w:tcBorders>
              <w:top w:val="nil"/>
              <w:left w:val="nil"/>
              <w:bottom w:val="single" w:color="auto" w:sz="4" w:space="0"/>
              <w:right w:val="single" w:color="auto" w:sz="4" w:space="0"/>
            </w:tcBorders>
            <w:shd w:val="clear" w:color="auto" w:fill="auto"/>
            <w:noWrap/>
            <w:vAlign w:val="center"/>
          </w:tcPr>
          <w:p w14:paraId="3D3EAED2">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28000.00 </w:t>
            </w:r>
          </w:p>
        </w:tc>
      </w:tr>
      <w:tr w14:paraId="7938C0F9">
        <w:tblPrEx>
          <w:tblCellMar>
            <w:top w:w="0" w:type="dxa"/>
            <w:left w:w="108" w:type="dxa"/>
            <w:bottom w:w="0" w:type="dxa"/>
            <w:right w:w="108" w:type="dxa"/>
          </w:tblCellMar>
        </w:tblPrEx>
        <w:trPr>
          <w:trHeight w:val="2263"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3E741B1B">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2</w:t>
            </w:r>
          </w:p>
        </w:tc>
        <w:tc>
          <w:tcPr>
            <w:tcW w:w="4537" w:type="dxa"/>
            <w:tcBorders>
              <w:top w:val="nil"/>
              <w:left w:val="nil"/>
              <w:bottom w:val="single" w:color="auto" w:sz="4" w:space="0"/>
              <w:right w:val="single" w:color="auto" w:sz="4" w:space="0"/>
            </w:tcBorders>
            <w:shd w:val="clear" w:color="auto" w:fill="auto"/>
            <w:vAlign w:val="center"/>
          </w:tcPr>
          <w:p w14:paraId="0740BDCB">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浑浊度光电自动监测设备</w:t>
            </w:r>
          </w:p>
          <w:p w14:paraId="59BDC633">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(1) 量程范围/分辨率：0～1000.0NTU  0.1NTU/0.1℃</w:t>
            </w:r>
            <w:r>
              <w:rPr>
                <w:rFonts w:hint="eastAsia" w:ascii="宋体" w:hAnsi="宋体" w:eastAsia="宋体" w:cs="宋体"/>
                <w:color w:val="000000"/>
                <w:kern w:val="0"/>
                <w:sz w:val="20"/>
                <w:szCs w:val="20"/>
              </w:rPr>
              <w:br w:type="page"/>
            </w:r>
          </w:p>
          <w:p w14:paraId="606967DE">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(2) 精度：±5%或±3NTU</w:t>
            </w:r>
            <w:r>
              <w:rPr>
                <w:rFonts w:hint="eastAsia" w:ascii="宋体" w:hAnsi="宋体" w:eastAsia="宋体" w:cs="宋体"/>
                <w:color w:val="000000"/>
                <w:kern w:val="0"/>
                <w:sz w:val="20"/>
                <w:szCs w:val="20"/>
              </w:rPr>
              <w:br w:type="page"/>
            </w:r>
          </w:p>
          <w:p w14:paraId="46C2AB94">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(3) 响应时间（T90）：＜30s</w:t>
            </w:r>
            <w:r>
              <w:rPr>
                <w:rFonts w:hint="eastAsia" w:ascii="宋体" w:hAnsi="宋体" w:eastAsia="宋体" w:cs="宋体"/>
                <w:color w:val="000000"/>
                <w:kern w:val="0"/>
                <w:sz w:val="20"/>
                <w:szCs w:val="20"/>
              </w:rPr>
              <w:br w:type="page"/>
            </w:r>
          </w:p>
          <w:p w14:paraId="353D373D">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(4) 支持RS-485，Modbus/RTU协议</w:t>
            </w:r>
          </w:p>
          <w:p w14:paraId="087CFD46">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(5) 光纤式结构，抗外界光干扰能力强</w:t>
            </w:r>
          </w:p>
          <w:p w14:paraId="3E0D1F4D">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(6) 红外LED光源，稳定性高</w:t>
            </w:r>
            <w:r>
              <w:rPr>
                <w:rFonts w:hint="eastAsia" w:ascii="宋体" w:hAnsi="宋体" w:eastAsia="宋体" w:cs="宋体"/>
                <w:color w:val="000000"/>
                <w:kern w:val="0"/>
                <w:sz w:val="20"/>
                <w:szCs w:val="20"/>
              </w:rPr>
              <w:br w:type="page"/>
            </w:r>
          </w:p>
          <w:p w14:paraId="1876A1A5">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(7) IP68防护，水深20米内</w:t>
            </w:r>
          </w:p>
        </w:tc>
        <w:tc>
          <w:tcPr>
            <w:tcW w:w="425" w:type="dxa"/>
            <w:tcBorders>
              <w:top w:val="nil"/>
              <w:left w:val="nil"/>
              <w:bottom w:val="single" w:color="auto" w:sz="4" w:space="0"/>
              <w:right w:val="single" w:color="auto" w:sz="4" w:space="0"/>
            </w:tcBorders>
            <w:shd w:val="clear" w:color="auto" w:fill="auto"/>
            <w:noWrap/>
            <w:vAlign w:val="center"/>
          </w:tcPr>
          <w:p w14:paraId="1A23F429">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台</w:t>
            </w:r>
          </w:p>
        </w:tc>
        <w:tc>
          <w:tcPr>
            <w:tcW w:w="425" w:type="dxa"/>
            <w:tcBorders>
              <w:top w:val="nil"/>
              <w:left w:val="nil"/>
              <w:bottom w:val="single" w:color="auto" w:sz="4" w:space="0"/>
              <w:right w:val="single" w:color="auto" w:sz="4" w:space="0"/>
            </w:tcBorders>
            <w:shd w:val="clear" w:color="auto" w:fill="auto"/>
            <w:noWrap/>
            <w:vAlign w:val="center"/>
          </w:tcPr>
          <w:p w14:paraId="705A8BBA">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14</w:t>
            </w:r>
          </w:p>
        </w:tc>
        <w:tc>
          <w:tcPr>
            <w:tcW w:w="851" w:type="dxa"/>
            <w:tcBorders>
              <w:top w:val="nil"/>
              <w:left w:val="nil"/>
              <w:bottom w:val="single" w:color="auto" w:sz="4" w:space="0"/>
              <w:right w:val="single" w:color="auto" w:sz="4" w:space="0"/>
            </w:tcBorders>
            <w:shd w:val="clear" w:color="auto" w:fill="auto"/>
            <w:noWrap/>
            <w:vAlign w:val="center"/>
          </w:tcPr>
          <w:p w14:paraId="5CAF5FAC">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6500.00 </w:t>
            </w:r>
          </w:p>
        </w:tc>
        <w:tc>
          <w:tcPr>
            <w:tcW w:w="850" w:type="dxa"/>
            <w:tcBorders>
              <w:top w:val="nil"/>
              <w:left w:val="nil"/>
              <w:bottom w:val="single" w:color="auto" w:sz="4" w:space="0"/>
              <w:right w:val="single" w:color="auto" w:sz="4" w:space="0"/>
            </w:tcBorders>
            <w:shd w:val="clear" w:color="auto" w:fill="auto"/>
            <w:noWrap/>
            <w:vAlign w:val="center"/>
          </w:tcPr>
          <w:p w14:paraId="4EF62220">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3087.15 </w:t>
            </w:r>
          </w:p>
        </w:tc>
        <w:tc>
          <w:tcPr>
            <w:tcW w:w="1276" w:type="dxa"/>
            <w:tcBorders>
              <w:top w:val="nil"/>
              <w:left w:val="nil"/>
              <w:bottom w:val="single" w:color="auto" w:sz="4" w:space="0"/>
              <w:right w:val="single" w:color="auto" w:sz="4" w:space="0"/>
            </w:tcBorders>
            <w:shd w:val="clear" w:color="auto" w:fill="auto"/>
            <w:noWrap/>
            <w:vAlign w:val="center"/>
          </w:tcPr>
          <w:p w14:paraId="5387FAE4">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91000.00 </w:t>
            </w:r>
          </w:p>
        </w:tc>
        <w:tc>
          <w:tcPr>
            <w:tcW w:w="1134" w:type="dxa"/>
            <w:tcBorders>
              <w:top w:val="nil"/>
              <w:left w:val="nil"/>
              <w:bottom w:val="single" w:color="auto" w:sz="4" w:space="0"/>
              <w:right w:val="single" w:color="auto" w:sz="4" w:space="0"/>
            </w:tcBorders>
            <w:shd w:val="clear" w:color="auto" w:fill="auto"/>
            <w:noWrap/>
            <w:vAlign w:val="center"/>
          </w:tcPr>
          <w:p w14:paraId="22B0F1CB">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43220.10 </w:t>
            </w:r>
          </w:p>
        </w:tc>
      </w:tr>
      <w:tr w14:paraId="5F23311E">
        <w:tblPrEx>
          <w:tblCellMar>
            <w:top w:w="0" w:type="dxa"/>
            <w:left w:w="108" w:type="dxa"/>
            <w:bottom w:w="0" w:type="dxa"/>
            <w:right w:w="108" w:type="dxa"/>
          </w:tblCellMar>
        </w:tblPrEx>
        <w:trPr>
          <w:trHeight w:val="4809"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1150148F">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3</w:t>
            </w:r>
          </w:p>
        </w:tc>
        <w:tc>
          <w:tcPr>
            <w:tcW w:w="4537" w:type="dxa"/>
            <w:tcBorders>
              <w:top w:val="nil"/>
              <w:left w:val="nil"/>
              <w:bottom w:val="single" w:color="auto" w:sz="4" w:space="0"/>
              <w:right w:val="single" w:color="auto" w:sz="4" w:space="0"/>
            </w:tcBorders>
            <w:shd w:val="clear" w:color="auto" w:fill="auto"/>
            <w:vAlign w:val="center"/>
          </w:tcPr>
          <w:p w14:paraId="48316E6B">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视频监控摄像头</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(1) 视频监控摄像头400万像素，需要支持日夜转换，白天，夜晚，自动，定时切换</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(2) 视频监控摄像头需要支持区域入侵侦测，越界侦测，进入区域侦测和离开区域侦等智能侦测</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(3) 视频监控摄像头需要采用高效补光阵列，低功耗，红外补光100m</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(4) 视频监控摄像头需要内置加热玻璃，有效除雾</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(5) 视频监控摄像头需要支持23倍光学变倍，16倍数字变倍</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(6) 视频监控摄像头需要支持三码流技术，每路码流可独立配置分辨率及帧率</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(7) 视频监控摄像头需要支持定时抓图与事件抓图功能</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(8) 视频监控摄像头需要支持定时任务，一键守望，一键巡航功能</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(9) 视频监控摄像头需要支持MicroSD卡存储</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(10) 视频监控摄像头需要抗干扰能力强，可适用于严酷的电磁环境，符合GB/T17626.2/3/4/5/6四级标准</w:t>
            </w:r>
          </w:p>
        </w:tc>
        <w:tc>
          <w:tcPr>
            <w:tcW w:w="425" w:type="dxa"/>
            <w:tcBorders>
              <w:top w:val="nil"/>
              <w:left w:val="nil"/>
              <w:bottom w:val="single" w:color="auto" w:sz="4" w:space="0"/>
              <w:right w:val="single" w:color="auto" w:sz="4" w:space="0"/>
            </w:tcBorders>
            <w:shd w:val="clear" w:color="auto" w:fill="auto"/>
            <w:noWrap/>
            <w:vAlign w:val="center"/>
          </w:tcPr>
          <w:p w14:paraId="2B65C8C1">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台</w:t>
            </w:r>
          </w:p>
        </w:tc>
        <w:tc>
          <w:tcPr>
            <w:tcW w:w="425" w:type="dxa"/>
            <w:tcBorders>
              <w:top w:val="nil"/>
              <w:left w:val="nil"/>
              <w:bottom w:val="single" w:color="auto" w:sz="4" w:space="0"/>
              <w:right w:val="single" w:color="auto" w:sz="4" w:space="0"/>
            </w:tcBorders>
            <w:shd w:val="clear" w:color="auto" w:fill="auto"/>
            <w:noWrap/>
            <w:vAlign w:val="center"/>
          </w:tcPr>
          <w:p w14:paraId="7AD34B55">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14</w:t>
            </w:r>
          </w:p>
        </w:tc>
        <w:tc>
          <w:tcPr>
            <w:tcW w:w="851" w:type="dxa"/>
            <w:tcBorders>
              <w:top w:val="nil"/>
              <w:left w:val="nil"/>
              <w:bottom w:val="single" w:color="auto" w:sz="4" w:space="0"/>
              <w:right w:val="single" w:color="auto" w:sz="4" w:space="0"/>
            </w:tcBorders>
            <w:shd w:val="clear" w:color="auto" w:fill="auto"/>
            <w:noWrap/>
            <w:vAlign w:val="center"/>
          </w:tcPr>
          <w:p w14:paraId="16FDF710">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5800.00 </w:t>
            </w:r>
          </w:p>
        </w:tc>
        <w:tc>
          <w:tcPr>
            <w:tcW w:w="850" w:type="dxa"/>
            <w:tcBorders>
              <w:top w:val="nil"/>
              <w:left w:val="nil"/>
              <w:bottom w:val="single" w:color="auto" w:sz="4" w:space="0"/>
              <w:right w:val="single" w:color="auto" w:sz="4" w:space="0"/>
            </w:tcBorders>
            <w:shd w:val="clear" w:color="auto" w:fill="auto"/>
            <w:noWrap/>
            <w:vAlign w:val="center"/>
          </w:tcPr>
          <w:p w14:paraId="27FBEBF8">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2500.00 </w:t>
            </w:r>
          </w:p>
        </w:tc>
        <w:tc>
          <w:tcPr>
            <w:tcW w:w="1276" w:type="dxa"/>
            <w:tcBorders>
              <w:top w:val="nil"/>
              <w:left w:val="nil"/>
              <w:bottom w:val="single" w:color="auto" w:sz="4" w:space="0"/>
              <w:right w:val="single" w:color="auto" w:sz="4" w:space="0"/>
            </w:tcBorders>
            <w:shd w:val="clear" w:color="auto" w:fill="auto"/>
            <w:noWrap/>
            <w:vAlign w:val="center"/>
          </w:tcPr>
          <w:p w14:paraId="069843B1">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81200.00 </w:t>
            </w:r>
          </w:p>
        </w:tc>
        <w:tc>
          <w:tcPr>
            <w:tcW w:w="1134" w:type="dxa"/>
            <w:tcBorders>
              <w:top w:val="nil"/>
              <w:left w:val="nil"/>
              <w:bottom w:val="single" w:color="auto" w:sz="4" w:space="0"/>
              <w:right w:val="single" w:color="auto" w:sz="4" w:space="0"/>
            </w:tcBorders>
            <w:shd w:val="clear" w:color="auto" w:fill="auto"/>
            <w:noWrap/>
            <w:vAlign w:val="center"/>
          </w:tcPr>
          <w:p w14:paraId="1A69926D">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35000.00 </w:t>
            </w:r>
          </w:p>
        </w:tc>
      </w:tr>
      <w:tr w14:paraId="6B626689">
        <w:tblPrEx>
          <w:tblCellMar>
            <w:top w:w="0" w:type="dxa"/>
            <w:left w:w="108" w:type="dxa"/>
            <w:bottom w:w="0" w:type="dxa"/>
            <w:right w:w="108" w:type="dxa"/>
          </w:tblCellMar>
        </w:tblPrEx>
        <w:trPr>
          <w:trHeight w:val="2546"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64203DB6">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4</w:t>
            </w:r>
          </w:p>
        </w:tc>
        <w:tc>
          <w:tcPr>
            <w:tcW w:w="4537" w:type="dxa"/>
            <w:tcBorders>
              <w:top w:val="nil"/>
              <w:left w:val="nil"/>
              <w:bottom w:val="single" w:color="auto" w:sz="4" w:space="0"/>
              <w:right w:val="single" w:color="auto" w:sz="4" w:space="0"/>
            </w:tcBorders>
            <w:shd w:val="clear" w:color="auto" w:fill="auto"/>
            <w:vAlign w:val="center"/>
          </w:tcPr>
          <w:p w14:paraId="43EC6BF3">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视频联动算法装置</w:t>
            </w:r>
          </w:p>
          <w:p w14:paraId="5FF61447">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(1) 内置报警消息订阅服务功能</w:t>
            </w:r>
            <w:r>
              <w:rPr>
                <w:rFonts w:hint="eastAsia" w:ascii="宋体" w:hAnsi="宋体" w:eastAsia="宋体" w:cs="宋体"/>
                <w:color w:val="000000"/>
                <w:kern w:val="0"/>
                <w:sz w:val="20"/>
                <w:szCs w:val="20"/>
              </w:rPr>
              <w:br w:type="page"/>
            </w:r>
          </w:p>
          <w:p w14:paraId="7E74E12C">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(2) 多线程视频监控连接</w:t>
            </w:r>
            <w:r>
              <w:rPr>
                <w:rFonts w:hint="eastAsia" w:ascii="宋体" w:hAnsi="宋体" w:eastAsia="宋体" w:cs="宋体"/>
                <w:color w:val="000000"/>
                <w:kern w:val="0"/>
                <w:sz w:val="20"/>
                <w:szCs w:val="20"/>
              </w:rPr>
              <w:br w:type="page"/>
            </w:r>
          </w:p>
          <w:p w14:paraId="64EF5F13">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(3) 支持HTTP,HTTPS协议告警推送</w:t>
            </w:r>
          </w:p>
          <w:p w14:paraId="4E1F531D">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(4) 视频联动上报时间：≤10秒</w:t>
            </w:r>
            <w:r>
              <w:rPr>
                <w:rFonts w:hint="eastAsia" w:ascii="宋体" w:hAnsi="宋体" w:eastAsia="宋体" w:cs="宋体"/>
                <w:color w:val="000000"/>
                <w:kern w:val="0"/>
                <w:sz w:val="20"/>
                <w:szCs w:val="20"/>
              </w:rPr>
              <w:br w:type="page"/>
            </w:r>
          </w:p>
          <w:p w14:paraId="22C45900">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(5) 智能图像联动抓取服务</w:t>
            </w:r>
          </w:p>
          <w:p w14:paraId="61972A31">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(6) 可与接入到软件平台所有终端进行联动</w:t>
            </w:r>
            <w:r>
              <w:rPr>
                <w:rFonts w:hint="eastAsia" w:ascii="宋体" w:hAnsi="宋体" w:eastAsia="宋体" w:cs="宋体"/>
                <w:color w:val="000000"/>
                <w:kern w:val="0"/>
                <w:sz w:val="20"/>
                <w:szCs w:val="20"/>
              </w:rPr>
              <w:br w:type="page"/>
            </w:r>
          </w:p>
          <w:p w14:paraId="7F3A87CB">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(7) 支持RTSP,HLS,RTMP等视频流接入</w:t>
            </w:r>
          </w:p>
          <w:p w14:paraId="03786977">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(8) 本地报警日志存储</w:t>
            </w:r>
          </w:p>
        </w:tc>
        <w:tc>
          <w:tcPr>
            <w:tcW w:w="425" w:type="dxa"/>
            <w:tcBorders>
              <w:top w:val="nil"/>
              <w:left w:val="nil"/>
              <w:bottom w:val="single" w:color="auto" w:sz="4" w:space="0"/>
              <w:right w:val="single" w:color="auto" w:sz="4" w:space="0"/>
            </w:tcBorders>
            <w:shd w:val="clear" w:color="auto" w:fill="auto"/>
            <w:noWrap/>
            <w:vAlign w:val="center"/>
          </w:tcPr>
          <w:p w14:paraId="3D72B14E">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套</w:t>
            </w:r>
          </w:p>
        </w:tc>
        <w:tc>
          <w:tcPr>
            <w:tcW w:w="425" w:type="dxa"/>
            <w:tcBorders>
              <w:top w:val="nil"/>
              <w:left w:val="nil"/>
              <w:bottom w:val="single" w:color="auto" w:sz="4" w:space="0"/>
              <w:right w:val="single" w:color="auto" w:sz="4" w:space="0"/>
            </w:tcBorders>
            <w:shd w:val="clear" w:color="auto" w:fill="auto"/>
            <w:noWrap/>
            <w:vAlign w:val="center"/>
          </w:tcPr>
          <w:p w14:paraId="7408C437">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14</w:t>
            </w:r>
          </w:p>
        </w:tc>
        <w:tc>
          <w:tcPr>
            <w:tcW w:w="851" w:type="dxa"/>
            <w:tcBorders>
              <w:top w:val="nil"/>
              <w:left w:val="nil"/>
              <w:bottom w:val="single" w:color="auto" w:sz="4" w:space="0"/>
              <w:right w:val="single" w:color="auto" w:sz="4" w:space="0"/>
            </w:tcBorders>
            <w:shd w:val="clear" w:color="auto" w:fill="auto"/>
            <w:noWrap/>
            <w:vAlign w:val="center"/>
          </w:tcPr>
          <w:p w14:paraId="0F5C6BBE">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4800.00 </w:t>
            </w:r>
          </w:p>
        </w:tc>
        <w:tc>
          <w:tcPr>
            <w:tcW w:w="850" w:type="dxa"/>
            <w:tcBorders>
              <w:top w:val="nil"/>
              <w:left w:val="nil"/>
              <w:bottom w:val="single" w:color="auto" w:sz="4" w:space="0"/>
              <w:right w:val="single" w:color="auto" w:sz="4" w:space="0"/>
            </w:tcBorders>
            <w:shd w:val="clear" w:color="auto" w:fill="auto"/>
            <w:noWrap/>
            <w:vAlign w:val="center"/>
          </w:tcPr>
          <w:p w14:paraId="679E11F1">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1200.00 </w:t>
            </w:r>
          </w:p>
        </w:tc>
        <w:tc>
          <w:tcPr>
            <w:tcW w:w="1276" w:type="dxa"/>
            <w:tcBorders>
              <w:top w:val="nil"/>
              <w:left w:val="nil"/>
              <w:bottom w:val="single" w:color="auto" w:sz="4" w:space="0"/>
              <w:right w:val="single" w:color="auto" w:sz="4" w:space="0"/>
            </w:tcBorders>
            <w:shd w:val="clear" w:color="auto" w:fill="auto"/>
            <w:noWrap/>
            <w:vAlign w:val="center"/>
          </w:tcPr>
          <w:p w14:paraId="3623340D">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67200.00 </w:t>
            </w:r>
          </w:p>
        </w:tc>
        <w:tc>
          <w:tcPr>
            <w:tcW w:w="1134" w:type="dxa"/>
            <w:tcBorders>
              <w:top w:val="nil"/>
              <w:left w:val="nil"/>
              <w:bottom w:val="single" w:color="auto" w:sz="4" w:space="0"/>
              <w:right w:val="single" w:color="auto" w:sz="4" w:space="0"/>
            </w:tcBorders>
            <w:shd w:val="clear" w:color="auto" w:fill="auto"/>
            <w:noWrap/>
            <w:vAlign w:val="center"/>
          </w:tcPr>
          <w:p w14:paraId="7F90A6F8">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16800.00 </w:t>
            </w:r>
          </w:p>
        </w:tc>
      </w:tr>
      <w:tr w14:paraId="3EFDE372">
        <w:tblPrEx>
          <w:tblCellMar>
            <w:top w:w="0" w:type="dxa"/>
            <w:left w:w="108" w:type="dxa"/>
            <w:bottom w:w="0" w:type="dxa"/>
            <w:right w:w="108" w:type="dxa"/>
          </w:tblCellMar>
        </w:tblPrEx>
        <w:trPr>
          <w:trHeight w:val="2546"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39048C15">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5</w:t>
            </w:r>
          </w:p>
        </w:tc>
        <w:tc>
          <w:tcPr>
            <w:tcW w:w="4537" w:type="dxa"/>
            <w:tcBorders>
              <w:top w:val="nil"/>
              <w:left w:val="nil"/>
              <w:bottom w:val="single" w:color="auto" w:sz="4" w:space="0"/>
              <w:right w:val="single" w:color="auto" w:sz="4" w:space="0"/>
            </w:tcBorders>
            <w:shd w:val="clear" w:color="auto" w:fill="auto"/>
            <w:vAlign w:val="center"/>
          </w:tcPr>
          <w:p w14:paraId="7E7ED445">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无线网关</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采用钣金外壳有利于散热，支持DIN35mm轨道安装，提供5-36V 宽压输入，采用IP30 防护等级，广泛应用在户外场所，满足严酷工业环境下的苛刻要求。</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(1) 以太网接口：百兆网口*2</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(2) 串行接口：RS232，RS485</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(3) 支持DI/DO</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(4) 支持双SIM卡接入</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(5) LTE：全网通，联通、移动、电信均支持</w:t>
            </w:r>
          </w:p>
        </w:tc>
        <w:tc>
          <w:tcPr>
            <w:tcW w:w="425" w:type="dxa"/>
            <w:tcBorders>
              <w:top w:val="nil"/>
              <w:left w:val="nil"/>
              <w:bottom w:val="single" w:color="auto" w:sz="4" w:space="0"/>
              <w:right w:val="single" w:color="auto" w:sz="4" w:space="0"/>
            </w:tcBorders>
            <w:shd w:val="clear" w:color="auto" w:fill="auto"/>
            <w:noWrap/>
            <w:vAlign w:val="center"/>
          </w:tcPr>
          <w:p w14:paraId="62A268AE">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台</w:t>
            </w:r>
          </w:p>
        </w:tc>
        <w:tc>
          <w:tcPr>
            <w:tcW w:w="425" w:type="dxa"/>
            <w:tcBorders>
              <w:top w:val="nil"/>
              <w:left w:val="nil"/>
              <w:bottom w:val="single" w:color="auto" w:sz="4" w:space="0"/>
              <w:right w:val="single" w:color="auto" w:sz="4" w:space="0"/>
            </w:tcBorders>
            <w:shd w:val="clear" w:color="auto" w:fill="auto"/>
            <w:noWrap/>
            <w:vAlign w:val="center"/>
          </w:tcPr>
          <w:p w14:paraId="0B96C0BE">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14</w:t>
            </w:r>
          </w:p>
        </w:tc>
        <w:tc>
          <w:tcPr>
            <w:tcW w:w="851" w:type="dxa"/>
            <w:tcBorders>
              <w:top w:val="nil"/>
              <w:left w:val="nil"/>
              <w:bottom w:val="single" w:color="auto" w:sz="4" w:space="0"/>
              <w:right w:val="single" w:color="auto" w:sz="4" w:space="0"/>
            </w:tcBorders>
            <w:shd w:val="clear" w:color="auto" w:fill="auto"/>
            <w:noWrap/>
            <w:vAlign w:val="center"/>
          </w:tcPr>
          <w:p w14:paraId="316CF139">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1500.00 </w:t>
            </w:r>
          </w:p>
        </w:tc>
        <w:tc>
          <w:tcPr>
            <w:tcW w:w="850" w:type="dxa"/>
            <w:tcBorders>
              <w:top w:val="nil"/>
              <w:left w:val="nil"/>
              <w:bottom w:val="single" w:color="auto" w:sz="4" w:space="0"/>
              <w:right w:val="single" w:color="auto" w:sz="4" w:space="0"/>
            </w:tcBorders>
            <w:shd w:val="clear" w:color="auto" w:fill="auto"/>
            <w:noWrap/>
            <w:vAlign w:val="center"/>
          </w:tcPr>
          <w:p w14:paraId="3B6ED406">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550.00 </w:t>
            </w:r>
          </w:p>
        </w:tc>
        <w:tc>
          <w:tcPr>
            <w:tcW w:w="1276" w:type="dxa"/>
            <w:tcBorders>
              <w:top w:val="nil"/>
              <w:left w:val="nil"/>
              <w:bottom w:val="single" w:color="auto" w:sz="4" w:space="0"/>
              <w:right w:val="single" w:color="auto" w:sz="4" w:space="0"/>
            </w:tcBorders>
            <w:shd w:val="clear" w:color="auto" w:fill="auto"/>
            <w:noWrap/>
            <w:vAlign w:val="center"/>
          </w:tcPr>
          <w:p w14:paraId="25C8CC7D">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21000.00 </w:t>
            </w:r>
          </w:p>
        </w:tc>
        <w:tc>
          <w:tcPr>
            <w:tcW w:w="1134" w:type="dxa"/>
            <w:tcBorders>
              <w:top w:val="nil"/>
              <w:left w:val="nil"/>
              <w:bottom w:val="single" w:color="auto" w:sz="4" w:space="0"/>
              <w:right w:val="single" w:color="auto" w:sz="4" w:space="0"/>
            </w:tcBorders>
            <w:shd w:val="clear" w:color="auto" w:fill="auto"/>
            <w:noWrap/>
            <w:vAlign w:val="center"/>
          </w:tcPr>
          <w:p w14:paraId="235996E0">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7700.00 </w:t>
            </w:r>
          </w:p>
        </w:tc>
      </w:tr>
      <w:tr w14:paraId="17125BED">
        <w:tblPrEx>
          <w:tblCellMar>
            <w:top w:w="0" w:type="dxa"/>
            <w:left w:w="108" w:type="dxa"/>
            <w:bottom w:w="0" w:type="dxa"/>
            <w:right w:w="108" w:type="dxa"/>
          </w:tblCellMar>
        </w:tblPrEx>
        <w:trPr>
          <w:trHeight w:val="132"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2D0B5E9D">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6</w:t>
            </w:r>
          </w:p>
        </w:tc>
        <w:tc>
          <w:tcPr>
            <w:tcW w:w="4537" w:type="dxa"/>
            <w:tcBorders>
              <w:top w:val="nil"/>
              <w:left w:val="nil"/>
              <w:bottom w:val="single" w:color="auto" w:sz="4" w:space="0"/>
              <w:right w:val="single" w:color="auto" w:sz="4" w:space="0"/>
            </w:tcBorders>
            <w:shd w:val="clear" w:color="auto" w:fill="auto"/>
            <w:vAlign w:val="center"/>
          </w:tcPr>
          <w:p w14:paraId="28396A7A">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立杆和围栏</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立杆：3.5米高，壁厚2.0，带球机横臂，配地笼和M8 0.4米避雷针，230*230*8厚法兰，上节外径76mm，下节外径114mm</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围栏：1.5米高，镀锌钢管，蓝白色，锌钢二横梁，加厚管壁，防腐防锈，耐高温，耐冲击，无毛刺，抗磨损</w:t>
            </w:r>
          </w:p>
        </w:tc>
        <w:tc>
          <w:tcPr>
            <w:tcW w:w="425" w:type="dxa"/>
            <w:tcBorders>
              <w:top w:val="nil"/>
              <w:left w:val="nil"/>
              <w:bottom w:val="single" w:color="auto" w:sz="4" w:space="0"/>
              <w:right w:val="single" w:color="auto" w:sz="4" w:space="0"/>
            </w:tcBorders>
            <w:shd w:val="clear" w:color="auto" w:fill="auto"/>
            <w:noWrap/>
            <w:vAlign w:val="center"/>
          </w:tcPr>
          <w:p w14:paraId="3DB6A210">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套</w:t>
            </w:r>
          </w:p>
        </w:tc>
        <w:tc>
          <w:tcPr>
            <w:tcW w:w="425" w:type="dxa"/>
            <w:tcBorders>
              <w:top w:val="nil"/>
              <w:left w:val="nil"/>
              <w:bottom w:val="single" w:color="auto" w:sz="4" w:space="0"/>
              <w:right w:val="single" w:color="auto" w:sz="4" w:space="0"/>
            </w:tcBorders>
            <w:shd w:val="clear" w:color="auto" w:fill="auto"/>
            <w:noWrap/>
            <w:vAlign w:val="center"/>
          </w:tcPr>
          <w:p w14:paraId="22740E31">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14</w:t>
            </w:r>
          </w:p>
        </w:tc>
        <w:tc>
          <w:tcPr>
            <w:tcW w:w="851" w:type="dxa"/>
            <w:tcBorders>
              <w:top w:val="nil"/>
              <w:left w:val="nil"/>
              <w:bottom w:val="single" w:color="auto" w:sz="4" w:space="0"/>
              <w:right w:val="single" w:color="auto" w:sz="4" w:space="0"/>
            </w:tcBorders>
            <w:shd w:val="clear" w:color="auto" w:fill="auto"/>
            <w:noWrap/>
            <w:vAlign w:val="center"/>
          </w:tcPr>
          <w:p w14:paraId="59512120">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3500.00 </w:t>
            </w:r>
          </w:p>
        </w:tc>
        <w:tc>
          <w:tcPr>
            <w:tcW w:w="850" w:type="dxa"/>
            <w:tcBorders>
              <w:top w:val="nil"/>
              <w:left w:val="nil"/>
              <w:bottom w:val="single" w:color="auto" w:sz="4" w:space="0"/>
              <w:right w:val="single" w:color="auto" w:sz="4" w:space="0"/>
            </w:tcBorders>
            <w:shd w:val="clear" w:color="auto" w:fill="auto"/>
            <w:noWrap/>
            <w:vAlign w:val="center"/>
          </w:tcPr>
          <w:p w14:paraId="1870B2BA">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2300.00 </w:t>
            </w:r>
          </w:p>
        </w:tc>
        <w:tc>
          <w:tcPr>
            <w:tcW w:w="1276" w:type="dxa"/>
            <w:tcBorders>
              <w:top w:val="nil"/>
              <w:left w:val="nil"/>
              <w:bottom w:val="single" w:color="auto" w:sz="4" w:space="0"/>
              <w:right w:val="single" w:color="auto" w:sz="4" w:space="0"/>
            </w:tcBorders>
            <w:shd w:val="clear" w:color="auto" w:fill="auto"/>
            <w:noWrap/>
            <w:vAlign w:val="center"/>
          </w:tcPr>
          <w:p w14:paraId="368544D7">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49000.00 </w:t>
            </w:r>
          </w:p>
        </w:tc>
        <w:tc>
          <w:tcPr>
            <w:tcW w:w="1134" w:type="dxa"/>
            <w:tcBorders>
              <w:top w:val="nil"/>
              <w:left w:val="nil"/>
              <w:bottom w:val="single" w:color="auto" w:sz="4" w:space="0"/>
              <w:right w:val="single" w:color="auto" w:sz="4" w:space="0"/>
            </w:tcBorders>
            <w:shd w:val="clear" w:color="auto" w:fill="auto"/>
            <w:noWrap/>
            <w:vAlign w:val="center"/>
          </w:tcPr>
          <w:p w14:paraId="31AEB995">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32200.00 </w:t>
            </w:r>
          </w:p>
        </w:tc>
      </w:tr>
      <w:tr w14:paraId="64CED314">
        <w:tblPrEx>
          <w:tblCellMar>
            <w:top w:w="0" w:type="dxa"/>
            <w:left w:w="108" w:type="dxa"/>
            <w:bottom w:w="0" w:type="dxa"/>
            <w:right w:w="108" w:type="dxa"/>
          </w:tblCellMar>
        </w:tblPrEx>
        <w:trPr>
          <w:trHeight w:val="566"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365D61EC">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7</w:t>
            </w:r>
          </w:p>
        </w:tc>
        <w:tc>
          <w:tcPr>
            <w:tcW w:w="4537" w:type="dxa"/>
            <w:tcBorders>
              <w:top w:val="nil"/>
              <w:left w:val="nil"/>
              <w:bottom w:val="single" w:color="auto" w:sz="4" w:space="0"/>
              <w:right w:val="single" w:color="auto" w:sz="4" w:space="0"/>
            </w:tcBorders>
            <w:shd w:val="clear" w:color="auto" w:fill="auto"/>
            <w:vAlign w:val="center"/>
          </w:tcPr>
          <w:p w14:paraId="378277DF">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电源线</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国标RVVP屏蔽线，2*1.5平方，无氧铜线芯，防火阻燃</w:t>
            </w:r>
          </w:p>
        </w:tc>
        <w:tc>
          <w:tcPr>
            <w:tcW w:w="425" w:type="dxa"/>
            <w:tcBorders>
              <w:top w:val="nil"/>
              <w:left w:val="nil"/>
              <w:bottom w:val="single" w:color="auto" w:sz="4" w:space="0"/>
              <w:right w:val="single" w:color="auto" w:sz="4" w:space="0"/>
            </w:tcBorders>
            <w:shd w:val="clear" w:color="auto" w:fill="auto"/>
            <w:noWrap/>
            <w:vAlign w:val="center"/>
          </w:tcPr>
          <w:p w14:paraId="233D7763">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米</w:t>
            </w:r>
          </w:p>
        </w:tc>
        <w:tc>
          <w:tcPr>
            <w:tcW w:w="425" w:type="dxa"/>
            <w:tcBorders>
              <w:top w:val="nil"/>
              <w:left w:val="nil"/>
              <w:bottom w:val="single" w:color="auto" w:sz="4" w:space="0"/>
              <w:right w:val="single" w:color="auto" w:sz="4" w:space="0"/>
            </w:tcBorders>
            <w:shd w:val="clear" w:color="auto" w:fill="auto"/>
            <w:noWrap/>
            <w:vAlign w:val="center"/>
          </w:tcPr>
          <w:p w14:paraId="0819CE7C">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4200</w:t>
            </w:r>
          </w:p>
        </w:tc>
        <w:tc>
          <w:tcPr>
            <w:tcW w:w="851" w:type="dxa"/>
            <w:tcBorders>
              <w:top w:val="nil"/>
              <w:left w:val="nil"/>
              <w:bottom w:val="single" w:color="auto" w:sz="4" w:space="0"/>
              <w:right w:val="single" w:color="auto" w:sz="4" w:space="0"/>
            </w:tcBorders>
            <w:shd w:val="clear" w:color="auto" w:fill="auto"/>
            <w:noWrap/>
            <w:vAlign w:val="center"/>
          </w:tcPr>
          <w:p w14:paraId="61132364">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6.00 </w:t>
            </w:r>
          </w:p>
        </w:tc>
        <w:tc>
          <w:tcPr>
            <w:tcW w:w="850" w:type="dxa"/>
            <w:tcBorders>
              <w:top w:val="nil"/>
              <w:left w:val="nil"/>
              <w:bottom w:val="single" w:color="auto" w:sz="4" w:space="0"/>
              <w:right w:val="single" w:color="auto" w:sz="4" w:space="0"/>
            </w:tcBorders>
            <w:shd w:val="clear" w:color="auto" w:fill="auto"/>
            <w:noWrap/>
            <w:vAlign w:val="center"/>
          </w:tcPr>
          <w:p w14:paraId="3641A3F2">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10.00 </w:t>
            </w:r>
          </w:p>
        </w:tc>
        <w:tc>
          <w:tcPr>
            <w:tcW w:w="1276" w:type="dxa"/>
            <w:tcBorders>
              <w:top w:val="nil"/>
              <w:left w:val="nil"/>
              <w:bottom w:val="single" w:color="auto" w:sz="4" w:space="0"/>
              <w:right w:val="single" w:color="auto" w:sz="4" w:space="0"/>
            </w:tcBorders>
            <w:shd w:val="clear" w:color="auto" w:fill="auto"/>
            <w:noWrap/>
            <w:vAlign w:val="center"/>
          </w:tcPr>
          <w:p w14:paraId="0F3B54FB">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25200.00 </w:t>
            </w:r>
          </w:p>
        </w:tc>
        <w:tc>
          <w:tcPr>
            <w:tcW w:w="1134" w:type="dxa"/>
            <w:tcBorders>
              <w:top w:val="nil"/>
              <w:left w:val="nil"/>
              <w:bottom w:val="single" w:color="auto" w:sz="4" w:space="0"/>
              <w:right w:val="single" w:color="auto" w:sz="4" w:space="0"/>
            </w:tcBorders>
            <w:shd w:val="clear" w:color="auto" w:fill="auto"/>
            <w:noWrap/>
            <w:vAlign w:val="center"/>
          </w:tcPr>
          <w:p w14:paraId="7237E165">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42000.00 </w:t>
            </w:r>
          </w:p>
        </w:tc>
      </w:tr>
      <w:tr w14:paraId="2FCF0D07">
        <w:tblPrEx>
          <w:tblCellMar>
            <w:top w:w="0" w:type="dxa"/>
            <w:left w:w="108" w:type="dxa"/>
            <w:bottom w:w="0" w:type="dxa"/>
            <w:right w:w="108" w:type="dxa"/>
          </w:tblCellMar>
        </w:tblPrEx>
        <w:trPr>
          <w:trHeight w:val="849"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6D849BFA">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8</w:t>
            </w:r>
          </w:p>
        </w:tc>
        <w:tc>
          <w:tcPr>
            <w:tcW w:w="4537" w:type="dxa"/>
            <w:tcBorders>
              <w:top w:val="nil"/>
              <w:left w:val="nil"/>
              <w:bottom w:val="single" w:color="auto" w:sz="4" w:space="0"/>
              <w:right w:val="single" w:color="auto" w:sz="4" w:space="0"/>
            </w:tcBorders>
            <w:shd w:val="clear" w:color="auto" w:fill="auto"/>
            <w:vAlign w:val="center"/>
          </w:tcPr>
          <w:p w14:paraId="1360AD60">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线管</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PVC管，国标32*2mm厚度，环保PVC材质，防冻耐晒，防裂抗压</w:t>
            </w:r>
          </w:p>
        </w:tc>
        <w:tc>
          <w:tcPr>
            <w:tcW w:w="425" w:type="dxa"/>
            <w:tcBorders>
              <w:top w:val="nil"/>
              <w:left w:val="nil"/>
              <w:bottom w:val="single" w:color="auto" w:sz="4" w:space="0"/>
              <w:right w:val="single" w:color="auto" w:sz="4" w:space="0"/>
            </w:tcBorders>
            <w:shd w:val="clear" w:color="auto" w:fill="auto"/>
            <w:noWrap/>
            <w:vAlign w:val="center"/>
          </w:tcPr>
          <w:p w14:paraId="7EE7F08C">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米</w:t>
            </w:r>
          </w:p>
        </w:tc>
        <w:tc>
          <w:tcPr>
            <w:tcW w:w="425" w:type="dxa"/>
            <w:tcBorders>
              <w:top w:val="nil"/>
              <w:left w:val="nil"/>
              <w:bottom w:val="single" w:color="auto" w:sz="4" w:space="0"/>
              <w:right w:val="single" w:color="auto" w:sz="4" w:space="0"/>
            </w:tcBorders>
            <w:shd w:val="clear" w:color="auto" w:fill="auto"/>
            <w:noWrap/>
            <w:vAlign w:val="center"/>
          </w:tcPr>
          <w:p w14:paraId="23041F4D">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4200</w:t>
            </w:r>
          </w:p>
        </w:tc>
        <w:tc>
          <w:tcPr>
            <w:tcW w:w="851" w:type="dxa"/>
            <w:tcBorders>
              <w:top w:val="nil"/>
              <w:left w:val="nil"/>
              <w:bottom w:val="single" w:color="auto" w:sz="4" w:space="0"/>
              <w:right w:val="single" w:color="auto" w:sz="4" w:space="0"/>
            </w:tcBorders>
            <w:shd w:val="clear" w:color="auto" w:fill="auto"/>
            <w:noWrap/>
            <w:vAlign w:val="center"/>
          </w:tcPr>
          <w:p w14:paraId="70318AF0">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6.00 </w:t>
            </w:r>
          </w:p>
        </w:tc>
        <w:tc>
          <w:tcPr>
            <w:tcW w:w="850" w:type="dxa"/>
            <w:tcBorders>
              <w:top w:val="nil"/>
              <w:left w:val="nil"/>
              <w:bottom w:val="single" w:color="auto" w:sz="4" w:space="0"/>
              <w:right w:val="single" w:color="auto" w:sz="4" w:space="0"/>
            </w:tcBorders>
            <w:shd w:val="clear" w:color="auto" w:fill="auto"/>
            <w:noWrap/>
            <w:vAlign w:val="center"/>
          </w:tcPr>
          <w:p w14:paraId="37ABFB58">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10.00 </w:t>
            </w:r>
          </w:p>
        </w:tc>
        <w:tc>
          <w:tcPr>
            <w:tcW w:w="1276" w:type="dxa"/>
            <w:tcBorders>
              <w:top w:val="nil"/>
              <w:left w:val="nil"/>
              <w:bottom w:val="single" w:color="auto" w:sz="4" w:space="0"/>
              <w:right w:val="single" w:color="auto" w:sz="4" w:space="0"/>
            </w:tcBorders>
            <w:shd w:val="clear" w:color="auto" w:fill="auto"/>
            <w:noWrap/>
            <w:vAlign w:val="center"/>
          </w:tcPr>
          <w:p w14:paraId="5BD63702">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25200.00 </w:t>
            </w:r>
          </w:p>
        </w:tc>
        <w:tc>
          <w:tcPr>
            <w:tcW w:w="1134" w:type="dxa"/>
            <w:tcBorders>
              <w:top w:val="nil"/>
              <w:left w:val="nil"/>
              <w:bottom w:val="single" w:color="auto" w:sz="4" w:space="0"/>
              <w:right w:val="single" w:color="auto" w:sz="4" w:space="0"/>
            </w:tcBorders>
            <w:shd w:val="clear" w:color="auto" w:fill="auto"/>
            <w:noWrap/>
            <w:vAlign w:val="center"/>
          </w:tcPr>
          <w:p w14:paraId="440931FA">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42000.00 </w:t>
            </w:r>
          </w:p>
        </w:tc>
      </w:tr>
      <w:tr w14:paraId="10B92EE6">
        <w:tblPrEx>
          <w:tblCellMar>
            <w:top w:w="0" w:type="dxa"/>
            <w:left w:w="108" w:type="dxa"/>
            <w:bottom w:w="0" w:type="dxa"/>
            <w:right w:w="108" w:type="dxa"/>
          </w:tblCellMar>
        </w:tblPrEx>
        <w:trPr>
          <w:trHeight w:val="566"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35338AC7">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9</w:t>
            </w:r>
          </w:p>
        </w:tc>
        <w:tc>
          <w:tcPr>
            <w:tcW w:w="4537" w:type="dxa"/>
            <w:tcBorders>
              <w:top w:val="nil"/>
              <w:left w:val="nil"/>
              <w:bottom w:val="single" w:color="auto" w:sz="4" w:space="0"/>
              <w:right w:val="single" w:color="auto" w:sz="4" w:space="0"/>
            </w:tcBorders>
            <w:shd w:val="clear" w:color="auto" w:fill="auto"/>
            <w:vAlign w:val="center"/>
          </w:tcPr>
          <w:p w14:paraId="155FC7D7">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电源插排</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六插位，线长5米</w:t>
            </w:r>
          </w:p>
        </w:tc>
        <w:tc>
          <w:tcPr>
            <w:tcW w:w="425" w:type="dxa"/>
            <w:tcBorders>
              <w:top w:val="nil"/>
              <w:left w:val="nil"/>
              <w:bottom w:val="single" w:color="auto" w:sz="4" w:space="0"/>
              <w:right w:val="single" w:color="auto" w:sz="4" w:space="0"/>
            </w:tcBorders>
            <w:shd w:val="clear" w:color="auto" w:fill="auto"/>
            <w:noWrap/>
            <w:vAlign w:val="center"/>
          </w:tcPr>
          <w:p w14:paraId="16824AE4">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个</w:t>
            </w:r>
          </w:p>
        </w:tc>
        <w:tc>
          <w:tcPr>
            <w:tcW w:w="425" w:type="dxa"/>
            <w:tcBorders>
              <w:top w:val="nil"/>
              <w:left w:val="nil"/>
              <w:bottom w:val="single" w:color="auto" w:sz="4" w:space="0"/>
              <w:right w:val="single" w:color="auto" w:sz="4" w:space="0"/>
            </w:tcBorders>
            <w:shd w:val="clear" w:color="auto" w:fill="auto"/>
            <w:noWrap/>
            <w:vAlign w:val="center"/>
          </w:tcPr>
          <w:p w14:paraId="1F7FC0C1">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14</w:t>
            </w:r>
          </w:p>
        </w:tc>
        <w:tc>
          <w:tcPr>
            <w:tcW w:w="851" w:type="dxa"/>
            <w:tcBorders>
              <w:top w:val="nil"/>
              <w:left w:val="nil"/>
              <w:bottom w:val="single" w:color="auto" w:sz="4" w:space="0"/>
              <w:right w:val="single" w:color="auto" w:sz="4" w:space="0"/>
            </w:tcBorders>
            <w:shd w:val="clear" w:color="auto" w:fill="auto"/>
            <w:noWrap/>
            <w:vAlign w:val="center"/>
          </w:tcPr>
          <w:p w14:paraId="0312813C">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100.00 </w:t>
            </w:r>
          </w:p>
        </w:tc>
        <w:tc>
          <w:tcPr>
            <w:tcW w:w="850" w:type="dxa"/>
            <w:tcBorders>
              <w:top w:val="nil"/>
              <w:left w:val="nil"/>
              <w:bottom w:val="single" w:color="auto" w:sz="4" w:space="0"/>
              <w:right w:val="single" w:color="auto" w:sz="4" w:space="0"/>
            </w:tcBorders>
            <w:shd w:val="clear" w:color="auto" w:fill="auto"/>
            <w:noWrap/>
            <w:vAlign w:val="center"/>
          </w:tcPr>
          <w:p w14:paraId="77F49B75">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10.00 </w:t>
            </w:r>
          </w:p>
        </w:tc>
        <w:tc>
          <w:tcPr>
            <w:tcW w:w="1276" w:type="dxa"/>
            <w:tcBorders>
              <w:top w:val="nil"/>
              <w:left w:val="nil"/>
              <w:bottom w:val="single" w:color="auto" w:sz="4" w:space="0"/>
              <w:right w:val="single" w:color="auto" w:sz="4" w:space="0"/>
            </w:tcBorders>
            <w:shd w:val="clear" w:color="auto" w:fill="auto"/>
            <w:noWrap/>
            <w:vAlign w:val="center"/>
          </w:tcPr>
          <w:p w14:paraId="7DFCCE57">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1400.00 </w:t>
            </w:r>
          </w:p>
        </w:tc>
        <w:tc>
          <w:tcPr>
            <w:tcW w:w="1134" w:type="dxa"/>
            <w:tcBorders>
              <w:top w:val="nil"/>
              <w:left w:val="nil"/>
              <w:bottom w:val="single" w:color="auto" w:sz="4" w:space="0"/>
              <w:right w:val="single" w:color="auto" w:sz="4" w:space="0"/>
            </w:tcBorders>
            <w:shd w:val="clear" w:color="auto" w:fill="auto"/>
            <w:noWrap/>
            <w:vAlign w:val="center"/>
          </w:tcPr>
          <w:p w14:paraId="6684D3AB">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140.00 </w:t>
            </w:r>
          </w:p>
        </w:tc>
      </w:tr>
      <w:tr w14:paraId="3ADA0D38">
        <w:trPr>
          <w:trHeight w:val="566"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2B48F6FC">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10</w:t>
            </w:r>
          </w:p>
        </w:tc>
        <w:tc>
          <w:tcPr>
            <w:tcW w:w="4537" w:type="dxa"/>
            <w:tcBorders>
              <w:top w:val="nil"/>
              <w:left w:val="nil"/>
              <w:bottom w:val="single" w:color="auto" w:sz="4" w:space="0"/>
              <w:right w:val="single" w:color="auto" w:sz="4" w:space="0"/>
            </w:tcBorders>
            <w:shd w:val="clear" w:color="auto" w:fill="auto"/>
            <w:vAlign w:val="center"/>
          </w:tcPr>
          <w:p w14:paraId="2937FBB0">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设备箱</w:t>
            </w: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室外防雨，尺寸400*500*200mm，冷轧钢板材质，防腐防锈</w:t>
            </w:r>
          </w:p>
        </w:tc>
        <w:tc>
          <w:tcPr>
            <w:tcW w:w="425" w:type="dxa"/>
            <w:tcBorders>
              <w:top w:val="nil"/>
              <w:left w:val="nil"/>
              <w:bottom w:val="single" w:color="auto" w:sz="4" w:space="0"/>
              <w:right w:val="single" w:color="auto" w:sz="4" w:space="0"/>
            </w:tcBorders>
            <w:shd w:val="clear" w:color="auto" w:fill="auto"/>
            <w:noWrap/>
            <w:vAlign w:val="center"/>
          </w:tcPr>
          <w:p w14:paraId="63BF561E">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台</w:t>
            </w:r>
          </w:p>
        </w:tc>
        <w:tc>
          <w:tcPr>
            <w:tcW w:w="425" w:type="dxa"/>
            <w:tcBorders>
              <w:top w:val="nil"/>
              <w:left w:val="nil"/>
              <w:bottom w:val="single" w:color="auto" w:sz="4" w:space="0"/>
              <w:right w:val="single" w:color="auto" w:sz="4" w:space="0"/>
            </w:tcBorders>
            <w:shd w:val="clear" w:color="auto" w:fill="auto"/>
            <w:noWrap/>
            <w:vAlign w:val="center"/>
          </w:tcPr>
          <w:p w14:paraId="3E57AC2B">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14</w:t>
            </w:r>
          </w:p>
        </w:tc>
        <w:tc>
          <w:tcPr>
            <w:tcW w:w="851" w:type="dxa"/>
            <w:tcBorders>
              <w:top w:val="nil"/>
              <w:left w:val="nil"/>
              <w:bottom w:val="single" w:color="auto" w:sz="4" w:space="0"/>
              <w:right w:val="single" w:color="auto" w:sz="4" w:space="0"/>
            </w:tcBorders>
            <w:shd w:val="clear" w:color="auto" w:fill="auto"/>
            <w:noWrap/>
            <w:vAlign w:val="center"/>
          </w:tcPr>
          <w:p w14:paraId="4474BD58">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700.00 </w:t>
            </w:r>
          </w:p>
        </w:tc>
        <w:tc>
          <w:tcPr>
            <w:tcW w:w="850" w:type="dxa"/>
            <w:tcBorders>
              <w:top w:val="nil"/>
              <w:left w:val="nil"/>
              <w:bottom w:val="single" w:color="auto" w:sz="4" w:space="0"/>
              <w:right w:val="single" w:color="auto" w:sz="4" w:space="0"/>
            </w:tcBorders>
            <w:shd w:val="clear" w:color="auto" w:fill="auto"/>
            <w:noWrap/>
            <w:vAlign w:val="center"/>
          </w:tcPr>
          <w:p w14:paraId="4D90BCFF">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200.00 </w:t>
            </w:r>
          </w:p>
        </w:tc>
        <w:tc>
          <w:tcPr>
            <w:tcW w:w="1276" w:type="dxa"/>
            <w:tcBorders>
              <w:top w:val="nil"/>
              <w:left w:val="nil"/>
              <w:bottom w:val="single" w:color="auto" w:sz="4" w:space="0"/>
              <w:right w:val="single" w:color="auto" w:sz="4" w:space="0"/>
            </w:tcBorders>
            <w:shd w:val="clear" w:color="auto" w:fill="auto"/>
            <w:noWrap/>
            <w:vAlign w:val="center"/>
          </w:tcPr>
          <w:p w14:paraId="44AF6F48">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9800.00 </w:t>
            </w:r>
          </w:p>
        </w:tc>
        <w:tc>
          <w:tcPr>
            <w:tcW w:w="1134" w:type="dxa"/>
            <w:tcBorders>
              <w:top w:val="nil"/>
              <w:left w:val="nil"/>
              <w:bottom w:val="single" w:color="auto" w:sz="4" w:space="0"/>
              <w:right w:val="single" w:color="auto" w:sz="4" w:space="0"/>
            </w:tcBorders>
            <w:shd w:val="clear" w:color="auto" w:fill="auto"/>
            <w:noWrap/>
            <w:vAlign w:val="center"/>
          </w:tcPr>
          <w:p w14:paraId="194D0589">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2800.00 </w:t>
            </w:r>
          </w:p>
        </w:tc>
      </w:tr>
      <w:tr w14:paraId="27A6C66B">
        <w:tblPrEx>
          <w:tblCellMar>
            <w:top w:w="0" w:type="dxa"/>
            <w:left w:w="108" w:type="dxa"/>
            <w:bottom w:w="0" w:type="dxa"/>
            <w:right w:w="108" w:type="dxa"/>
          </w:tblCellMar>
        </w:tblPrEx>
        <w:trPr>
          <w:trHeight w:val="849"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5A39FCE0">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11</w:t>
            </w:r>
          </w:p>
        </w:tc>
        <w:tc>
          <w:tcPr>
            <w:tcW w:w="4537" w:type="dxa"/>
            <w:tcBorders>
              <w:top w:val="nil"/>
              <w:left w:val="nil"/>
              <w:bottom w:val="single" w:color="auto" w:sz="4" w:space="0"/>
              <w:right w:val="single" w:color="auto" w:sz="4" w:space="0"/>
            </w:tcBorders>
            <w:shd w:val="clear" w:color="auto" w:fill="auto"/>
            <w:vAlign w:val="center"/>
          </w:tcPr>
          <w:p w14:paraId="7DA70DEA">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三年视频流量卡</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用于摄像头，4G流量卡，30G/月流量，移动、电信、联通均支持</w:t>
            </w:r>
          </w:p>
        </w:tc>
        <w:tc>
          <w:tcPr>
            <w:tcW w:w="425" w:type="dxa"/>
            <w:tcBorders>
              <w:top w:val="nil"/>
              <w:left w:val="nil"/>
              <w:bottom w:val="single" w:color="auto" w:sz="4" w:space="0"/>
              <w:right w:val="single" w:color="auto" w:sz="4" w:space="0"/>
            </w:tcBorders>
            <w:shd w:val="clear" w:color="auto" w:fill="auto"/>
            <w:noWrap/>
            <w:vAlign w:val="center"/>
          </w:tcPr>
          <w:p w14:paraId="0CCDC378">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张</w:t>
            </w:r>
          </w:p>
        </w:tc>
        <w:tc>
          <w:tcPr>
            <w:tcW w:w="425" w:type="dxa"/>
            <w:tcBorders>
              <w:top w:val="nil"/>
              <w:left w:val="nil"/>
              <w:bottom w:val="single" w:color="auto" w:sz="4" w:space="0"/>
              <w:right w:val="single" w:color="auto" w:sz="4" w:space="0"/>
            </w:tcBorders>
            <w:shd w:val="clear" w:color="auto" w:fill="auto"/>
            <w:noWrap/>
            <w:vAlign w:val="center"/>
          </w:tcPr>
          <w:p w14:paraId="4CD09701">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14</w:t>
            </w:r>
          </w:p>
        </w:tc>
        <w:tc>
          <w:tcPr>
            <w:tcW w:w="851" w:type="dxa"/>
            <w:tcBorders>
              <w:top w:val="nil"/>
              <w:left w:val="nil"/>
              <w:bottom w:val="single" w:color="auto" w:sz="4" w:space="0"/>
              <w:right w:val="single" w:color="auto" w:sz="4" w:space="0"/>
            </w:tcBorders>
            <w:shd w:val="clear" w:color="auto" w:fill="auto"/>
            <w:noWrap/>
            <w:vAlign w:val="center"/>
          </w:tcPr>
          <w:p w14:paraId="793DD4FB">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1500.00 </w:t>
            </w:r>
          </w:p>
        </w:tc>
        <w:tc>
          <w:tcPr>
            <w:tcW w:w="850" w:type="dxa"/>
            <w:tcBorders>
              <w:top w:val="nil"/>
              <w:left w:val="nil"/>
              <w:bottom w:val="single" w:color="auto" w:sz="4" w:space="0"/>
              <w:right w:val="single" w:color="auto" w:sz="4" w:space="0"/>
            </w:tcBorders>
            <w:shd w:val="clear" w:color="auto" w:fill="auto"/>
            <w:noWrap/>
            <w:vAlign w:val="center"/>
          </w:tcPr>
          <w:p w14:paraId="5420964C">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10.00 </w:t>
            </w:r>
          </w:p>
        </w:tc>
        <w:tc>
          <w:tcPr>
            <w:tcW w:w="1276" w:type="dxa"/>
            <w:tcBorders>
              <w:top w:val="nil"/>
              <w:left w:val="nil"/>
              <w:bottom w:val="single" w:color="auto" w:sz="4" w:space="0"/>
              <w:right w:val="single" w:color="auto" w:sz="4" w:space="0"/>
            </w:tcBorders>
            <w:shd w:val="clear" w:color="auto" w:fill="auto"/>
            <w:noWrap/>
            <w:vAlign w:val="center"/>
          </w:tcPr>
          <w:p w14:paraId="0132B7DB">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21000.00 </w:t>
            </w:r>
          </w:p>
        </w:tc>
        <w:tc>
          <w:tcPr>
            <w:tcW w:w="1134" w:type="dxa"/>
            <w:tcBorders>
              <w:top w:val="nil"/>
              <w:left w:val="nil"/>
              <w:bottom w:val="single" w:color="auto" w:sz="4" w:space="0"/>
              <w:right w:val="single" w:color="auto" w:sz="4" w:space="0"/>
            </w:tcBorders>
            <w:shd w:val="clear" w:color="auto" w:fill="auto"/>
            <w:noWrap/>
            <w:vAlign w:val="center"/>
          </w:tcPr>
          <w:p w14:paraId="11C402A9">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140.00 </w:t>
            </w:r>
          </w:p>
        </w:tc>
      </w:tr>
      <w:tr w14:paraId="5BAB2EC9">
        <w:tblPrEx>
          <w:tblCellMar>
            <w:top w:w="0" w:type="dxa"/>
            <w:left w:w="108" w:type="dxa"/>
            <w:bottom w:w="0" w:type="dxa"/>
            <w:right w:w="108" w:type="dxa"/>
          </w:tblCellMar>
        </w:tblPrEx>
        <w:trPr>
          <w:trHeight w:val="849"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4416BE9D">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12</w:t>
            </w:r>
          </w:p>
        </w:tc>
        <w:tc>
          <w:tcPr>
            <w:tcW w:w="4537" w:type="dxa"/>
            <w:tcBorders>
              <w:top w:val="nil"/>
              <w:left w:val="nil"/>
              <w:bottom w:val="single" w:color="auto" w:sz="4" w:space="0"/>
              <w:right w:val="single" w:color="auto" w:sz="4" w:space="0"/>
            </w:tcBorders>
            <w:shd w:val="clear" w:color="auto" w:fill="auto"/>
            <w:vAlign w:val="center"/>
          </w:tcPr>
          <w:p w14:paraId="379B7706">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辅材</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14套存储卡、空开、漏保、防雷器、微电子定时器和开关电源，网线，信号线，接地棒，接地线，水泥沙子等</w:t>
            </w:r>
          </w:p>
        </w:tc>
        <w:tc>
          <w:tcPr>
            <w:tcW w:w="425" w:type="dxa"/>
            <w:tcBorders>
              <w:top w:val="nil"/>
              <w:left w:val="nil"/>
              <w:bottom w:val="single" w:color="auto" w:sz="4" w:space="0"/>
              <w:right w:val="single" w:color="auto" w:sz="4" w:space="0"/>
            </w:tcBorders>
            <w:shd w:val="clear" w:color="auto" w:fill="auto"/>
            <w:vAlign w:val="center"/>
          </w:tcPr>
          <w:p w14:paraId="6231E536">
            <w:pPr>
              <w:widowControl/>
              <w:wordWrap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项</w:t>
            </w:r>
          </w:p>
        </w:tc>
        <w:tc>
          <w:tcPr>
            <w:tcW w:w="425" w:type="dxa"/>
            <w:tcBorders>
              <w:top w:val="nil"/>
              <w:left w:val="nil"/>
              <w:bottom w:val="single" w:color="auto" w:sz="4" w:space="0"/>
              <w:right w:val="single" w:color="auto" w:sz="4" w:space="0"/>
            </w:tcBorders>
            <w:shd w:val="clear" w:color="auto" w:fill="auto"/>
            <w:noWrap/>
            <w:vAlign w:val="center"/>
          </w:tcPr>
          <w:p w14:paraId="2F334620">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1</w:t>
            </w:r>
          </w:p>
        </w:tc>
        <w:tc>
          <w:tcPr>
            <w:tcW w:w="851" w:type="dxa"/>
            <w:tcBorders>
              <w:top w:val="nil"/>
              <w:left w:val="nil"/>
              <w:bottom w:val="single" w:color="auto" w:sz="4" w:space="0"/>
              <w:right w:val="single" w:color="auto" w:sz="4" w:space="0"/>
            </w:tcBorders>
            <w:shd w:val="clear" w:color="auto" w:fill="auto"/>
            <w:noWrap/>
            <w:vAlign w:val="center"/>
          </w:tcPr>
          <w:p w14:paraId="5D15F69D">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19645.00 </w:t>
            </w:r>
          </w:p>
        </w:tc>
        <w:tc>
          <w:tcPr>
            <w:tcW w:w="850" w:type="dxa"/>
            <w:tcBorders>
              <w:top w:val="nil"/>
              <w:left w:val="nil"/>
              <w:bottom w:val="single" w:color="auto" w:sz="4" w:space="0"/>
              <w:right w:val="single" w:color="auto" w:sz="4" w:space="0"/>
            </w:tcBorders>
            <w:shd w:val="clear" w:color="auto" w:fill="auto"/>
            <w:noWrap/>
            <w:vAlign w:val="center"/>
          </w:tcPr>
          <w:p w14:paraId="2EA2DFB2">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0.00 </w:t>
            </w:r>
          </w:p>
        </w:tc>
        <w:tc>
          <w:tcPr>
            <w:tcW w:w="1276" w:type="dxa"/>
            <w:tcBorders>
              <w:top w:val="nil"/>
              <w:left w:val="nil"/>
              <w:bottom w:val="single" w:color="auto" w:sz="4" w:space="0"/>
              <w:right w:val="single" w:color="auto" w:sz="4" w:space="0"/>
            </w:tcBorders>
            <w:shd w:val="clear" w:color="auto" w:fill="auto"/>
            <w:noWrap/>
            <w:vAlign w:val="center"/>
          </w:tcPr>
          <w:p w14:paraId="396C7067">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19645.00 </w:t>
            </w:r>
          </w:p>
        </w:tc>
        <w:tc>
          <w:tcPr>
            <w:tcW w:w="1134" w:type="dxa"/>
            <w:tcBorders>
              <w:top w:val="nil"/>
              <w:left w:val="nil"/>
              <w:bottom w:val="single" w:color="auto" w:sz="4" w:space="0"/>
              <w:right w:val="single" w:color="auto" w:sz="4" w:space="0"/>
            </w:tcBorders>
            <w:shd w:val="clear" w:color="auto" w:fill="auto"/>
            <w:noWrap/>
            <w:vAlign w:val="center"/>
          </w:tcPr>
          <w:p w14:paraId="1020F6DD">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0.00 </w:t>
            </w:r>
          </w:p>
        </w:tc>
      </w:tr>
      <w:tr w14:paraId="0D880CDD">
        <w:tblPrEx>
          <w:tblCellMar>
            <w:top w:w="0" w:type="dxa"/>
            <w:left w:w="108" w:type="dxa"/>
            <w:bottom w:w="0" w:type="dxa"/>
            <w:right w:w="108" w:type="dxa"/>
          </w:tblCellMar>
        </w:tblPrEx>
        <w:trPr>
          <w:trHeight w:val="500" w:hRule="atLeast"/>
        </w:trPr>
        <w:tc>
          <w:tcPr>
            <w:tcW w:w="567" w:type="dxa"/>
            <w:tcBorders>
              <w:top w:val="nil"/>
              <w:left w:val="single" w:color="auto" w:sz="4" w:space="0"/>
              <w:bottom w:val="single" w:color="auto" w:sz="4" w:space="0"/>
              <w:right w:val="single" w:color="auto" w:sz="4" w:space="0"/>
            </w:tcBorders>
            <w:shd w:val="clear" w:color="auto" w:fill="auto"/>
            <w:noWrap/>
            <w:vAlign w:val="bottom"/>
          </w:tcPr>
          <w:p w14:paraId="512EBF31">
            <w:pPr>
              <w:widowControl/>
              <w:wordWrap w:val="0"/>
              <w:jc w:val="lef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w:t>
            </w:r>
          </w:p>
        </w:tc>
        <w:tc>
          <w:tcPr>
            <w:tcW w:w="4537" w:type="dxa"/>
            <w:tcBorders>
              <w:top w:val="nil"/>
              <w:left w:val="nil"/>
              <w:bottom w:val="single" w:color="auto" w:sz="4" w:space="0"/>
              <w:right w:val="single" w:color="auto" w:sz="4" w:space="0"/>
            </w:tcBorders>
            <w:shd w:val="clear" w:color="auto" w:fill="auto"/>
            <w:noWrap/>
            <w:vAlign w:val="center"/>
          </w:tcPr>
          <w:p w14:paraId="0969A368">
            <w:pPr>
              <w:widowControl/>
              <w:wordWrap w:val="0"/>
              <w:jc w:val="left"/>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小计2</w:t>
            </w:r>
          </w:p>
        </w:tc>
        <w:tc>
          <w:tcPr>
            <w:tcW w:w="425" w:type="dxa"/>
            <w:tcBorders>
              <w:top w:val="nil"/>
              <w:left w:val="nil"/>
              <w:bottom w:val="single" w:color="auto" w:sz="4" w:space="0"/>
              <w:right w:val="single" w:color="auto" w:sz="4" w:space="0"/>
            </w:tcBorders>
            <w:shd w:val="clear" w:color="auto" w:fill="auto"/>
            <w:noWrap/>
            <w:vAlign w:val="center"/>
          </w:tcPr>
          <w:p w14:paraId="34AE6FC6">
            <w:pPr>
              <w:widowControl/>
              <w:wordWrap w:val="0"/>
              <w:jc w:val="center"/>
              <w:rPr>
                <w:rFonts w:ascii="Times New Roman" w:hAnsi="Times New Roman" w:eastAsia="宋体" w:cs="Times New Roman"/>
                <w:b/>
                <w:bCs/>
                <w:color w:val="000000"/>
                <w:kern w:val="0"/>
                <w:sz w:val="20"/>
                <w:szCs w:val="20"/>
              </w:rPr>
            </w:pPr>
            <w:r>
              <w:rPr>
                <w:rFonts w:ascii="Times New Roman" w:hAnsi="Times New Roman" w:eastAsia="宋体" w:cs="Times New Roman"/>
                <w:b/>
                <w:bCs/>
                <w:color w:val="000000"/>
                <w:kern w:val="0"/>
                <w:sz w:val="20"/>
                <w:szCs w:val="20"/>
              </w:rPr>
              <w:t>　</w:t>
            </w:r>
          </w:p>
        </w:tc>
        <w:tc>
          <w:tcPr>
            <w:tcW w:w="425" w:type="dxa"/>
            <w:tcBorders>
              <w:top w:val="nil"/>
              <w:left w:val="nil"/>
              <w:bottom w:val="single" w:color="auto" w:sz="4" w:space="0"/>
              <w:right w:val="single" w:color="auto" w:sz="4" w:space="0"/>
            </w:tcBorders>
            <w:shd w:val="clear" w:color="auto" w:fill="auto"/>
            <w:noWrap/>
            <w:vAlign w:val="center"/>
          </w:tcPr>
          <w:p w14:paraId="2302D21A">
            <w:pPr>
              <w:widowControl/>
              <w:wordWrap w:val="0"/>
              <w:jc w:val="center"/>
              <w:rPr>
                <w:rFonts w:ascii="Times New Roman" w:hAnsi="Times New Roman" w:eastAsia="宋体" w:cs="Times New Roman"/>
                <w:b/>
                <w:bCs/>
                <w:color w:val="000000"/>
                <w:kern w:val="0"/>
                <w:sz w:val="20"/>
                <w:szCs w:val="20"/>
              </w:rPr>
            </w:pPr>
            <w:r>
              <w:rPr>
                <w:rFonts w:ascii="Times New Roman" w:hAnsi="Times New Roman" w:eastAsia="宋体" w:cs="Times New Roman"/>
                <w:b/>
                <w:bCs/>
                <w:color w:val="000000"/>
                <w:kern w:val="0"/>
                <w:sz w:val="20"/>
                <w:szCs w:val="20"/>
              </w:rPr>
              <w:t>　</w:t>
            </w:r>
          </w:p>
        </w:tc>
        <w:tc>
          <w:tcPr>
            <w:tcW w:w="851" w:type="dxa"/>
            <w:tcBorders>
              <w:top w:val="nil"/>
              <w:left w:val="nil"/>
              <w:bottom w:val="single" w:color="auto" w:sz="4" w:space="0"/>
              <w:right w:val="single" w:color="auto" w:sz="4" w:space="0"/>
            </w:tcBorders>
            <w:shd w:val="clear" w:color="auto" w:fill="auto"/>
            <w:noWrap/>
            <w:vAlign w:val="center"/>
          </w:tcPr>
          <w:p w14:paraId="3E42FAC0">
            <w:pPr>
              <w:widowControl/>
              <w:wordWrap w:val="0"/>
              <w:jc w:val="center"/>
              <w:rPr>
                <w:rFonts w:ascii="Times New Roman" w:hAnsi="Times New Roman" w:eastAsia="宋体" w:cs="Times New Roman"/>
                <w:b/>
                <w:bCs/>
                <w:color w:val="000000"/>
                <w:kern w:val="0"/>
                <w:sz w:val="20"/>
                <w:szCs w:val="20"/>
              </w:rPr>
            </w:pPr>
            <w:r>
              <w:rPr>
                <w:rFonts w:ascii="Times New Roman" w:hAnsi="Times New Roman" w:eastAsia="宋体" w:cs="Times New Roman"/>
                <w:b/>
                <w:bCs/>
                <w:color w:val="000000"/>
                <w:kern w:val="0"/>
                <w:sz w:val="20"/>
                <w:szCs w:val="20"/>
              </w:rPr>
              <w:t>　</w:t>
            </w:r>
          </w:p>
        </w:tc>
        <w:tc>
          <w:tcPr>
            <w:tcW w:w="850" w:type="dxa"/>
            <w:tcBorders>
              <w:top w:val="nil"/>
              <w:left w:val="nil"/>
              <w:bottom w:val="single" w:color="auto" w:sz="4" w:space="0"/>
              <w:right w:val="single" w:color="auto" w:sz="4" w:space="0"/>
            </w:tcBorders>
            <w:shd w:val="clear" w:color="auto" w:fill="auto"/>
            <w:noWrap/>
            <w:vAlign w:val="center"/>
          </w:tcPr>
          <w:p w14:paraId="2A9A6048">
            <w:pPr>
              <w:widowControl/>
              <w:wordWrap w:val="0"/>
              <w:jc w:val="center"/>
              <w:rPr>
                <w:rFonts w:ascii="Times New Roman" w:hAnsi="Times New Roman" w:eastAsia="宋体" w:cs="Times New Roman"/>
                <w:b/>
                <w:bCs/>
                <w:color w:val="000000"/>
                <w:kern w:val="0"/>
                <w:sz w:val="20"/>
                <w:szCs w:val="20"/>
              </w:rPr>
            </w:pPr>
            <w:r>
              <w:rPr>
                <w:rFonts w:ascii="Times New Roman" w:hAnsi="Times New Roman" w:eastAsia="宋体" w:cs="Times New Roman"/>
                <w:b/>
                <w:bCs/>
                <w:color w:val="000000"/>
                <w:kern w:val="0"/>
                <w:sz w:val="20"/>
                <w:szCs w:val="20"/>
              </w:rPr>
              <w:t>　</w:t>
            </w:r>
          </w:p>
        </w:tc>
        <w:tc>
          <w:tcPr>
            <w:tcW w:w="1276" w:type="dxa"/>
            <w:tcBorders>
              <w:top w:val="nil"/>
              <w:left w:val="nil"/>
              <w:bottom w:val="single" w:color="auto" w:sz="4" w:space="0"/>
              <w:right w:val="single" w:color="auto" w:sz="4" w:space="0"/>
            </w:tcBorders>
            <w:shd w:val="clear" w:color="auto" w:fill="auto"/>
            <w:noWrap/>
            <w:vAlign w:val="center"/>
          </w:tcPr>
          <w:p w14:paraId="7F6C7D66">
            <w:pPr>
              <w:widowControl/>
              <w:wordWrap w:val="0"/>
              <w:jc w:val="right"/>
              <w:rPr>
                <w:rFonts w:ascii="Times New Roman" w:hAnsi="Times New Roman" w:eastAsia="宋体" w:cs="Times New Roman"/>
                <w:b/>
                <w:bCs/>
                <w:color w:val="000000"/>
                <w:kern w:val="0"/>
                <w:sz w:val="20"/>
                <w:szCs w:val="20"/>
              </w:rPr>
            </w:pPr>
            <w:r>
              <w:rPr>
                <w:rFonts w:ascii="Times New Roman" w:hAnsi="Times New Roman" w:eastAsia="宋体" w:cs="Times New Roman"/>
                <w:b/>
                <w:bCs/>
                <w:color w:val="000000"/>
                <w:kern w:val="0"/>
                <w:sz w:val="20"/>
                <w:szCs w:val="20"/>
              </w:rPr>
              <w:t>474645.00</w:t>
            </w:r>
          </w:p>
        </w:tc>
        <w:tc>
          <w:tcPr>
            <w:tcW w:w="1134" w:type="dxa"/>
            <w:tcBorders>
              <w:top w:val="nil"/>
              <w:left w:val="nil"/>
              <w:bottom w:val="single" w:color="auto" w:sz="4" w:space="0"/>
              <w:right w:val="single" w:color="auto" w:sz="4" w:space="0"/>
            </w:tcBorders>
            <w:shd w:val="clear" w:color="auto" w:fill="auto"/>
            <w:noWrap/>
            <w:vAlign w:val="center"/>
          </w:tcPr>
          <w:p w14:paraId="0013AAB2">
            <w:pPr>
              <w:widowControl/>
              <w:wordWrap w:val="0"/>
              <w:jc w:val="right"/>
              <w:rPr>
                <w:rFonts w:ascii="Times New Roman" w:hAnsi="Times New Roman" w:eastAsia="宋体" w:cs="Times New Roman"/>
                <w:b/>
                <w:bCs/>
                <w:color w:val="000000"/>
                <w:kern w:val="0"/>
                <w:sz w:val="20"/>
                <w:szCs w:val="20"/>
              </w:rPr>
            </w:pPr>
            <w:r>
              <w:rPr>
                <w:rFonts w:ascii="Times New Roman" w:hAnsi="Times New Roman" w:eastAsia="宋体" w:cs="Times New Roman"/>
                <w:b/>
                <w:bCs/>
                <w:color w:val="000000"/>
                <w:kern w:val="0"/>
                <w:sz w:val="20"/>
                <w:szCs w:val="20"/>
              </w:rPr>
              <w:t>250000</w:t>
            </w:r>
          </w:p>
        </w:tc>
      </w:tr>
      <w:tr w14:paraId="1DB53470">
        <w:tblPrEx>
          <w:tblCellMar>
            <w:top w:w="0" w:type="dxa"/>
            <w:left w:w="108" w:type="dxa"/>
            <w:bottom w:w="0" w:type="dxa"/>
            <w:right w:w="108" w:type="dxa"/>
          </w:tblCellMar>
        </w:tblPrEx>
        <w:trPr>
          <w:trHeight w:val="500"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3762357B">
            <w:pPr>
              <w:widowControl/>
              <w:wordWrap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三</w:t>
            </w:r>
          </w:p>
        </w:tc>
        <w:tc>
          <w:tcPr>
            <w:tcW w:w="4537" w:type="dxa"/>
            <w:tcBorders>
              <w:top w:val="nil"/>
              <w:left w:val="nil"/>
              <w:bottom w:val="single" w:color="auto" w:sz="4" w:space="0"/>
              <w:right w:val="single" w:color="auto" w:sz="4" w:space="0"/>
            </w:tcBorders>
            <w:shd w:val="clear" w:color="auto" w:fill="auto"/>
            <w:vAlign w:val="center"/>
          </w:tcPr>
          <w:p w14:paraId="4DAA83D9">
            <w:pPr>
              <w:widowControl/>
              <w:wordWrap w:val="0"/>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水源地视频监控及算法自动报警</w:t>
            </w:r>
          </w:p>
        </w:tc>
        <w:tc>
          <w:tcPr>
            <w:tcW w:w="425" w:type="dxa"/>
            <w:tcBorders>
              <w:top w:val="nil"/>
              <w:left w:val="nil"/>
              <w:bottom w:val="single" w:color="auto" w:sz="4" w:space="0"/>
              <w:right w:val="single" w:color="auto" w:sz="4" w:space="0"/>
            </w:tcBorders>
            <w:shd w:val="clear" w:color="auto" w:fill="auto"/>
            <w:vAlign w:val="center"/>
          </w:tcPr>
          <w:p w14:paraId="2190ED22">
            <w:pPr>
              <w:widowControl/>
              <w:wordWrap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　</w:t>
            </w:r>
          </w:p>
        </w:tc>
        <w:tc>
          <w:tcPr>
            <w:tcW w:w="425" w:type="dxa"/>
            <w:tcBorders>
              <w:top w:val="nil"/>
              <w:left w:val="nil"/>
              <w:bottom w:val="single" w:color="auto" w:sz="4" w:space="0"/>
              <w:right w:val="single" w:color="auto" w:sz="4" w:space="0"/>
            </w:tcBorders>
            <w:shd w:val="clear" w:color="auto" w:fill="auto"/>
            <w:vAlign w:val="center"/>
          </w:tcPr>
          <w:p w14:paraId="4FE5E7E6">
            <w:pPr>
              <w:widowControl/>
              <w:wordWrap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　</w:t>
            </w:r>
          </w:p>
        </w:tc>
        <w:tc>
          <w:tcPr>
            <w:tcW w:w="851" w:type="dxa"/>
            <w:tcBorders>
              <w:top w:val="nil"/>
              <w:left w:val="nil"/>
              <w:bottom w:val="single" w:color="auto" w:sz="4" w:space="0"/>
              <w:right w:val="single" w:color="auto" w:sz="4" w:space="0"/>
            </w:tcBorders>
            <w:shd w:val="clear" w:color="auto" w:fill="auto"/>
            <w:noWrap/>
            <w:vAlign w:val="center"/>
          </w:tcPr>
          <w:p w14:paraId="41FE4563">
            <w:pPr>
              <w:widowControl/>
              <w:wordWrap w:val="0"/>
              <w:jc w:val="center"/>
              <w:rPr>
                <w:rFonts w:ascii="Times New Roman" w:hAnsi="Times New Roman" w:eastAsia="宋体" w:cs="Times New Roman"/>
                <w:b/>
                <w:bCs/>
                <w:color w:val="FF0000"/>
                <w:kern w:val="0"/>
                <w:sz w:val="20"/>
                <w:szCs w:val="20"/>
              </w:rPr>
            </w:pPr>
            <w:r>
              <w:rPr>
                <w:rFonts w:ascii="Times New Roman" w:hAnsi="Times New Roman" w:eastAsia="宋体" w:cs="Times New Roman"/>
                <w:b/>
                <w:bCs/>
                <w:color w:val="FF0000"/>
                <w:kern w:val="0"/>
                <w:sz w:val="20"/>
                <w:szCs w:val="20"/>
              </w:rPr>
              <w:t>　</w:t>
            </w:r>
          </w:p>
        </w:tc>
        <w:tc>
          <w:tcPr>
            <w:tcW w:w="850" w:type="dxa"/>
            <w:tcBorders>
              <w:top w:val="nil"/>
              <w:left w:val="nil"/>
              <w:bottom w:val="single" w:color="auto" w:sz="4" w:space="0"/>
              <w:right w:val="single" w:color="auto" w:sz="4" w:space="0"/>
            </w:tcBorders>
            <w:shd w:val="clear" w:color="auto" w:fill="auto"/>
            <w:vAlign w:val="center"/>
          </w:tcPr>
          <w:p w14:paraId="52B8B0D8">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w:t>
            </w:r>
          </w:p>
        </w:tc>
        <w:tc>
          <w:tcPr>
            <w:tcW w:w="1276" w:type="dxa"/>
            <w:tcBorders>
              <w:top w:val="nil"/>
              <w:left w:val="nil"/>
              <w:bottom w:val="single" w:color="auto" w:sz="4" w:space="0"/>
              <w:right w:val="single" w:color="auto" w:sz="4" w:space="0"/>
            </w:tcBorders>
            <w:shd w:val="clear" w:color="auto" w:fill="auto"/>
            <w:noWrap/>
            <w:vAlign w:val="center"/>
          </w:tcPr>
          <w:p w14:paraId="12652C0F">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w:t>
            </w:r>
          </w:p>
        </w:tc>
        <w:tc>
          <w:tcPr>
            <w:tcW w:w="1134" w:type="dxa"/>
            <w:tcBorders>
              <w:top w:val="nil"/>
              <w:left w:val="nil"/>
              <w:bottom w:val="single" w:color="auto" w:sz="4" w:space="0"/>
              <w:right w:val="single" w:color="auto" w:sz="4" w:space="0"/>
            </w:tcBorders>
            <w:shd w:val="clear" w:color="auto" w:fill="auto"/>
            <w:vAlign w:val="center"/>
          </w:tcPr>
          <w:p w14:paraId="4E57E9E7">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w:t>
            </w:r>
          </w:p>
        </w:tc>
      </w:tr>
      <w:tr w14:paraId="1ACA1A80">
        <w:tblPrEx>
          <w:tblCellMar>
            <w:top w:w="0" w:type="dxa"/>
            <w:left w:w="108" w:type="dxa"/>
            <w:bottom w:w="0" w:type="dxa"/>
            <w:right w:w="108" w:type="dxa"/>
          </w:tblCellMar>
        </w:tblPrEx>
        <w:trPr>
          <w:trHeight w:val="7220"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4BA96748">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1</w:t>
            </w:r>
          </w:p>
        </w:tc>
        <w:tc>
          <w:tcPr>
            <w:tcW w:w="4537" w:type="dxa"/>
            <w:tcBorders>
              <w:top w:val="nil"/>
              <w:left w:val="nil"/>
              <w:bottom w:val="single" w:color="auto" w:sz="4" w:space="0"/>
              <w:right w:val="single" w:color="auto" w:sz="4" w:space="0"/>
            </w:tcBorders>
            <w:shd w:val="clear" w:color="auto" w:fill="auto"/>
            <w:vAlign w:val="center"/>
          </w:tcPr>
          <w:p w14:paraId="3CEC10A5">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警戒球机</w:t>
            </w:r>
            <w:r>
              <w:rPr>
                <w:rFonts w:hint="eastAsia" w:ascii="宋体" w:hAnsi="宋体" w:eastAsia="宋体" w:cs="宋体"/>
                <w:color w:val="000000"/>
                <w:kern w:val="0"/>
                <w:sz w:val="20"/>
                <w:szCs w:val="20"/>
              </w:rPr>
              <w:br w:type="page"/>
            </w:r>
          </w:p>
          <w:p w14:paraId="25DBD7F8">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t>(1) 支持400万高清像素</w:t>
            </w:r>
            <w:r>
              <w:rPr>
                <w:rFonts w:hint="eastAsia" w:ascii="宋体" w:hAnsi="宋体" w:eastAsia="宋体" w:cs="宋体"/>
                <w:color w:val="000000"/>
                <w:kern w:val="0"/>
                <w:sz w:val="20"/>
                <w:szCs w:val="20"/>
              </w:rPr>
              <w:br w:type="page"/>
            </w:r>
          </w:p>
          <w:p w14:paraId="54A99C19">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t>(2) 采用毫米波雷达技术，分辨率更高，检测性能更稳定，不受光照、雨雪、灰尘、水雾等恶劣环境的影响</w:t>
            </w:r>
          </w:p>
          <w:p w14:paraId="7B446D3B">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(3) 支持水位监测，监测范围0.15~15米，水位精度±1mm</w:t>
            </w:r>
            <w:r>
              <w:rPr>
                <w:rFonts w:hint="eastAsia" w:ascii="宋体" w:hAnsi="宋体" w:eastAsia="宋体" w:cs="宋体"/>
                <w:color w:val="000000"/>
                <w:kern w:val="0"/>
                <w:sz w:val="20"/>
                <w:szCs w:val="20"/>
              </w:rPr>
              <w:br w:type="page"/>
            </w:r>
          </w:p>
          <w:p w14:paraId="511124E0">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t>(4) 支持对接AI开放平台，可远程部署算法</w:t>
            </w:r>
            <w:r>
              <w:rPr>
                <w:rFonts w:hint="eastAsia" w:ascii="宋体" w:hAnsi="宋体" w:eastAsia="宋体" w:cs="宋体"/>
                <w:color w:val="000000"/>
                <w:kern w:val="0"/>
                <w:sz w:val="20"/>
                <w:szCs w:val="20"/>
              </w:rPr>
              <w:br w:type="page"/>
            </w:r>
          </w:p>
          <w:p w14:paraId="07A9A07E">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t>(5) 支持全景路2560×1440@30 fps高清画面输出</w:t>
            </w:r>
          </w:p>
          <w:p w14:paraId="47C229FA">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(6) 支持全彩画面，F1.0大光圈</w:t>
            </w:r>
          </w:p>
          <w:p w14:paraId="3DA227EF">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(7) 支持H.265高效压缩算法，可较大节省存储空间</w:t>
            </w:r>
          </w:p>
          <w:p w14:paraId="68F22F04">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(8) 采用白光补光，有效白光30米</w:t>
            </w:r>
          </w:p>
          <w:p w14:paraId="32AFF3DE">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(9) 支持海康SDK，开放型网络视频接口，ISAPI，GB/T28181，ISUP，萤石</w:t>
            </w:r>
          </w:p>
          <w:p w14:paraId="4FD36142">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(10) 支持宽动态范围达120 dB，适合逆光环境监控</w:t>
            </w:r>
            <w:r>
              <w:rPr>
                <w:rFonts w:hint="eastAsia" w:ascii="宋体" w:hAnsi="宋体" w:eastAsia="宋体" w:cs="宋体"/>
                <w:color w:val="000000"/>
                <w:kern w:val="0"/>
                <w:sz w:val="20"/>
                <w:szCs w:val="20"/>
              </w:rPr>
              <w:br w:type="page"/>
            </w:r>
          </w:p>
          <w:p w14:paraId="6E41A7E3">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t>(11) 支持340°水平旋转，垂直方向-20°~90°</w:t>
            </w:r>
            <w:r>
              <w:rPr>
                <w:rFonts w:hint="eastAsia" w:ascii="宋体" w:hAnsi="宋体" w:eastAsia="宋体" w:cs="宋体"/>
                <w:color w:val="000000"/>
                <w:kern w:val="0"/>
                <w:sz w:val="20"/>
                <w:szCs w:val="20"/>
              </w:rPr>
              <w:br w:type="page"/>
            </w:r>
          </w:p>
          <w:p w14:paraId="165F9F41">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t>(12) 支持3D数字降噪、强光抑制、Smart IR</w:t>
            </w:r>
          </w:p>
          <w:p w14:paraId="11EFC278">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(13) 支持1路音频输入和1路音频输出</w:t>
            </w:r>
          </w:p>
          <w:p w14:paraId="5ACA90A3">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(14) 内置2路报警输入和1路报警输出，支持报警联动功能</w:t>
            </w:r>
          </w:p>
          <w:p w14:paraId="48D19F7A">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(15) 支持4G，低功耗设计，设备正常工作，最低功耗小于1W</w:t>
            </w:r>
            <w:r>
              <w:rPr>
                <w:rFonts w:hint="eastAsia" w:ascii="宋体" w:hAnsi="宋体" w:eastAsia="宋体" w:cs="宋体"/>
                <w:color w:val="000000"/>
                <w:kern w:val="0"/>
                <w:sz w:val="20"/>
                <w:szCs w:val="20"/>
              </w:rPr>
              <w:br w:type="page"/>
            </w:r>
          </w:p>
          <w:p w14:paraId="2580DAE5">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t>(16) 支持水位报警联动视频抓拍上报</w:t>
            </w:r>
          </w:p>
          <w:p w14:paraId="31967146">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(17) 内置32 GB EMMC存储</w:t>
            </w:r>
            <w:r>
              <w:rPr>
                <w:rFonts w:hint="eastAsia" w:ascii="宋体" w:hAnsi="宋体" w:eastAsia="宋体" w:cs="宋体"/>
                <w:color w:val="000000"/>
                <w:kern w:val="0"/>
                <w:sz w:val="20"/>
                <w:szCs w:val="20"/>
              </w:rPr>
              <w:br w:type="page"/>
            </w:r>
          </w:p>
          <w:p w14:paraId="36F0D4CB">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t>(18) 支持最大256G的 Micro SD/Micro SDHC/Micro SDXC卡存储</w:t>
            </w:r>
            <w:r>
              <w:rPr>
                <w:rFonts w:hint="eastAsia" w:ascii="宋体" w:hAnsi="宋体" w:eastAsia="宋体" w:cs="宋体"/>
                <w:color w:val="000000"/>
                <w:kern w:val="0"/>
                <w:sz w:val="20"/>
                <w:szCs w:val="20"/>
              </w:rPr>
              <w:br w:type="page"/>
            </w:r>
          </w:p>
          <w:p w14:paraId="0185D33D">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t>(19) IP67，抗干扰能力强，适用于严酷的电磁环境，符合GB/T17626.2/3/4/5/6四级标准</w:t>
            </w:r>
          </w:p>
          <w:p w14:paraId="47475B77">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(20) 设备支持热点，当4G网络异常后可连接设备热点进行维护</w:t>
            </w:r>
          </w:p>
        </w:tc>
        <w:tc>
          <w:tcPr>
            <w:tcW w:w="425" w:type="dxa"/>
            <w:tcBorders>
              <w:top w:val="nil"/>
              <w:left w:val="nil"/>
              <w:bottom w:val="single" w:color="auto" w:sz="4" w:space="0"/>
              <w:right w:val="single" w:color="auto" w:sz="4" w:space="0"/>
            </w:tcBorders>
            <w:shd w:val="clear" w:color="auto" w:fill="auto"/>
            <w:vAlign w:val="center"/>
          </w:tcPr>
          <w:p w14:paraId="178CAFB0">
            <w:pPr>
              <w:widowControl/>
              <w:wordWrap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台</w:t>
            </w:r>
          </w:p>
        </w:tc>
        <w:tc>
          <w:tcPr>
            <w:tcW w:w="425" w:type="dxa"/>
            <w:tcBorders>
              <w:top w:val="nil"/>
              <w:left w:val="nil"/>
              <w:bottom w:val="single" w:color="auto" w:sz="4" w:space="0"/>
              <w:right w:val="single" w:color="auto" w:sz="4" w:space="0"/>
            </w:tcBorders>
            <w:shd w:val="clear" w:color="auto" w:fill="auto"/>
            <w:noWrap/>
            <w:vAlign w:val="center"/>
          </w:tcPr>
          <w:p w14:paraId="0B3CA30C">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15</w:t>
            </w:r>
          </w:p>
        </w:tc>
        <w:tc>
          <w:tcPr>
            <w:tcW w:w="851" w:type="dxa"/>
            <w:tcBorders>
              <w:top w:val="nil"/>
              <w:left w:val="nil"/>
              <w:bottom w:val="single" w:color="auto" w:sz="4" w:space="0"/>
              <w:right w:val="single" w:color="auto" w:sz="4" w:space="0"/>
            </w:tcBorders>
            <w:shd w:val="clear" w:color="auto" w:fill="auto"/>
            <w:noWrap/>
            <w:vAlign w:val="center"/>
          </w:tcPr>
          <w:p w14:paraId="3047A800">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8900.00 </w:t>
            </w:r>
          </w:p>
        </w:tc>
        <w:tc>
          <w:tcPr>
            <w:tcW w:w="850" w:type="dxa"/>
            <w:tcBorders>
              <w:top w:val="nil"/>
              <w:left w:val="nil"/>
              <w:bottom w:val="single" w:color="auto" w:sz="4" w:space="0"/>
              <w:right w:val="single" w:color="auto" w:sz="4" w:space="0"/>
            </w:tcBorders>
            <w:shd w:val="clear" w:color="auto" w:fill="auto"/>
            <w:noWrap/>
            <w:vAlign w:val="center"/>
          </w:tcPr>
          <w:p w14:paraId="4804DB05">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5330.00 </w:t>
            </w:r>
          </w:p>
        </w:tc>
        <w:tc>
          <w:tcPr>
            <w:tcW w:w="1276" w:type="dxa"/>
            <w:tcBorders>
              <w:top w:val="nil"/>
              <w:left w:val="nil"/>
              <w:bottom w:val="single" w:color="auto" w:sz="4" w:space="0"/>
              <w:right w:val="single" w:color="auto" w:sz="4" w:space="0"/>
            </w:tcBorders>
            <w:shd w:val="clear" w:color="auto" w:fill="auto"/>
            <w:noWrap/>
            <w:vAlign w:val="center"/>
          </w:tcPr>
          <w:p w14:paraId="7D53328B">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133500.00 </w:t>
            </w:r>
          </w:p>
        </w:tc>
        <w:tc>
          <w:tcPr>
            <w:tcW w:w="1134" w:type="dxa"/>
            <w:tcBorders>
              <w:top w:val="nil"/>
              <w:left w:val="nil"/>
              <w:bottom w:val="single" w:color="auto" w:sz="4" w:space="0"/>
              <w:right w:val="single" w:color="auto" w:sz="4" w:space="0"/>
            </w:tcBorders>
            <w:shd w:val="clear" w:color="auto" w:fill="auto"/>
            <w:noWrap/>
            <w:vAlign w:val="center"/>
          </w:tcPr>
          <w:p w14:paraId="7BC6F5A1">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79950.00 </w:t>
            </w:r>
          </w:p>
        </w:tc>
      </w:tr>
      <w:tr w14:paraId="7532619A">
        <w:tblPrEx>
          <w:tblCellMar>
            <w:top w:w="0" w:type="dxa"/>
            <w:left w:w="108" w:type="dxa"/>
            <w:bottom w:w="0" w:type="dxa"/>
            <w:right w:w="108" w:type="dxa"/>
          </w:tblCellMar>
        </w:tblPrEx>
        <w:trPr>
          <w:trHeight w:val="2117"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56676176">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2</w:t>
            </w:r>
          </w:p>
        </w:tc>
        <w:tc>
          <w:tcPr>
            <w:tcW w:w="4537" w:type="dxa"/>
            <w:tcBorders>
              <w:top w:val="nil"/>
              <w:left w:val="nil"/>
              <w:bottom w:val="single" w:color="auto" w:sz="4" w:space="0"/>
              <w:right w:val="single" w:color="auto" w:sz="4" w:space="0"/>
            </w:tcBorders>
            <w:shd w:val="clear" w:color="auto" w:fill="auto"/>
            <w:vAlign w:val="center"/>
          </w:tcPr>
          <w:p w14:paraId="1A28D84A">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t>无线网关</w:t>
            </w: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采用钣金外壳有利于散热，支持DIN35mm轨道安装，提供5-36V 宽压输入，采用IP30 防护等级，广泛应用在户外场所，满足严酷工业环境下的苛刻要求。</w:t>
            </w:r>
          </w:p>
          <w:p w14:paraId="56931C87">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(1) 以太网接口：百兆网口*2</w:t>
            </w:r>
            <w:r>
              <w:rPr>
                <w:rFonts w:hint="eastAsia" w:ascii="宋体" w:hAnsi="宋体" w:eastAsia="宋体" w:cs="宋体"/>
                <w:color w:val="000000"/>
                <w:kern w:val="0"/>
                <w:sz w:val="20"/>
                <w:szCs w:val="20"/>
              </w:rPr>
              <w:br w:type="page"/>
            </w:r>
          </w:p>
          <w:p w14:paraId="5C4322A3">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t>(2) 串行接口：RS232，RS485</w:t>
            </w:r>
            <w:r>
              <w:rPr>
                <w:rFonts w:hint="eastAsia" w:ascii="宋体" w:hAnsi="宋体" w:eastAsia="宋体" w:cs="宋体"/>
                <w:color w:val="000000"/>
                <w:kern w:val="0"/>
                <w:sz w:val="20"/>
                <w:szCs w:val="20"/>
              </w:rPr>
              <w:br w:type="page"/>
            </w:r>
          </w:p>
          <w:p w14:paraId="61D066C7">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t>(3) 支持DI/DO</w:t>
            </w:r>
            <w:r>
              <w:rPr>
                <w:rFonts w:hint="eastAsia" w:ascii="宋体" w:hAnsi="宋体" w:eastAsia="宋体" w:cs="宋体"/>
                <w:color w:val="000000"/>
                <w:kern w:val="0"/>
                <w:sz w:val="20"/>
                <w:szCs w:val="20"/>
              </w:rPr>
              <w:br w:type="page"/>
            </w:r>
          </w:p>
          <w:p w14:paraId="14753495">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t>(4) 支持双SIM卡接入</w:t>
            </w:r>
          </w:p>
          <w:p w14:paraId="5712D836">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(5) LTE：全网通，联通、移动、电信均支持</w:t>
            </w:r>
          </w:p>
        </w:tc>
        <w:tc>
          <w:tcPr>
            <w:tcW w:w="425" w:type="dxa"/>
            <w:tcBorders>
              <w:top w:val="nil"/>
              <w:left w:val="nil"/>
              <w:bottom w:val="single" w:color="auto" w:sz="4" w:space="0"/>
              <w:right w:val="single" w:color="auto" w:sz="4" w:space="0"/>
            </w:tcBorders>
            <w:shd w:val="clear" w:color="auto" w:fill="auto"/>
            <w:vAlign w:val="center"/>
          </w:tcPr>
          <w:p w14:paraId="08FD827C">
            <w:pPr>
              <w:widowControl/>
              <w:wordWrap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台</w:t>
            </w:r>
          </w:p>
        </w:tc>
        <w:tc>
          <w:tcPr>
            <w:tcW w:w="425" w:type="dxa"/>
            <w:tcBorders>
              <w:top w:val="nil"/>
              <w:left w:val="nil"/>
              <w:bottom w:val="single" w:color="auto" w:sz="4" w:space="0"/>
              <w:right w:val="single" w:color="auto" w:sz="4" w:space="0"/>
            </w:tcBorders>
            <w:shd w:val="clear" w:color="auto" w:fill="auto"/>
            <w:noWrap/>
            <w:vAlign w:val="center"/>
          </w:tcPr>
          <w:p w14:paraId="008393FC">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15</w:t>
            </w:r>
          </w:p>
        </w:tc>
        <w:tc>
          <w:tcPr>
            <w:tcW w:w="851" w:type="dxa"/>
            <w:tcBorders>
              <w:top w:val="nil"/>
              <w:left w:val="nil"/>
              <w:bottom w:val="single" w:color="auto" w:sz="4" w:space="0"/>
              <w:right w:val="single" w:color="auto" w:sz="4" w:space="0"/>
            </w:tcBorders>
            <w:shd w:val="clear" w:color="auto" w:fill="auto"/>
            <w:noWrap/>
            <w:vAlign w:val="center"/>
          </w:tcPr>
          <w:p w14:paraId="52D0E238">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1500.00 </w:t>
            </w:r>
          </w:p>
        </w:tc>
        <w:tc>
          <w:tcPr>
            <w:tcW w:w="850" w:type="dxa"/>
            <w:tcBorders>
              <w:top w:val="nil"/>
              <w:left w:val="nil"/>
              <w:bottom w:val="single" w:color="auto" w:sz="4" w:space="0"/>
              <w:right w:val="single" w:color="auto" w:sz="4" w:space="0"/>
            </w:tcBorders>
            <w:shd w:val="clear" w:color="auto" w:fill="auto"/>
            <w:noWrap/>
            <w:vAlign w:val="center"/>
          </w:tcPr>
          <w:p w14:paraId="3283569D">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550.00 </w:t>
            </w:r>
          </w:p>
        </w:tc>
        <w:tc>
          <w:tcPr>
            <w:tcW w:w="1276" w:type="dxa"/>
            <w:tcBorders>
              <w:top w:val="nil"/>
              <w:left w:val="nil"/>
              <w:bottom w:val="single" w:color="auto" w:sz="4" w:space="0"/>
              <w:right w:val="single" w:color="auto" w:sz="4" w:space="0"/>
            </w:tcBorders>
            <w:shd w:val="clear" w:color="auto" w:fill="auto"/>
            <w:noWrap/>
            <w:vAlign w:val="center"/>
          </w:tcPr>
          <w:p w14:paraId="739E82EC">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22500.00 </w:t>
            </w:r>
          </w:p>
        </w:tc>
        <w:tc>
          <w:tcPr>
            <w:tcW w:w="1134" w:type="dxa"/>
            <w:tcBorders>
              <w:top w:val="nil"/>
              <w:left w:val="nil"/>
              <w:bottom w:val="single" w:color="auto" w:sz="4" w:space="0"/>
              <w:right w:val="single" w:color="auto" w:sz="4" w:space="0"/>
            </w:tcBorders>
            <w:shd w:val="clear" w:color="auto" w:fill="auto"/>
            <w:noWrap/>
            <w:vAlign w:val="center"/>
          </w:tcPr>
          <w:p w14:paraId="2311994A">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8250.00 </w:t>
            </w:r>
          </w:p>
        </w:tc>
      </w:tr>
      <w:tr w14:paraId="1E0B7ADD">
        <w:tblPrEx>
          <w:tblCellMar>
            <w:top w:w="0" w:type="dxa"/>
            <w:left w:w="108" w:type="dxa"/>
            <w:bottom w:w="0" w:type="dxa"/>
            <w:right w:w="108" w:type="dxa"/>
          </w:tblCellMar>
        </w:tblPrEx>
        <w:trPr>
          <w:trHeight w:val="566"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28D75A37">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3</w:t>
            </w:r>
          </w:p>
        </w:tc>
        <w:tc>
          <w:tcPr>
            <w:tcW w:w="4537" w:type="dxa"/>
            <w:tcBorders>
              <w:top w:val="nil"/>
              <w:left w:val="nil"/>
              <w:bottom w:val="single" w:color="auto" w:sz="4" w:space="0"/>
              <w:right w:val="single" w:color="auto" w:sz="4" w:space="0"/>
            </w:tcBorders>
            <w:shd w:val="clear" w:color="auto" w:fill="auto"/>
            <w:vAlign w:val="center"/>
          </w:tcPr>
          <w:p w14:paraId="68ACC0D3">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电源线</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国标RVVP屏蔽线，2*1.5平方，无氧铜线芯，防火阻燃</w:t>
            </w:r>
          </w:p>
        </w:tc>
        <w:tc>
          <w:tcPr>
            <w:tcW w:w="425" w:type="dxa"/>
            <w:tcBorders>
              <w:top w:val="nil"/>
              <w:left w:val="nil"/>
              <w:bottom w:val="single" w:color="auto" w:sz="4" w:space="0"/>
              <w:right w:val="single" w:color="auto" w:sz="4" w:space="0"/>
            </w:tcBorders>
            <w:shd w:val="clear" w:color="auto" w:fill="auto"/>
            <w:vAlign w:val="center"/>
          </w:tcPr>
          <w:p w14:paraId="466E5E7B">
            <w:pPr>
              <w:widowControl/>
              <w:wordWrap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米</w:t>
            </w:r>
          </w:p>
        </w:tc>
        <w:tc>
          <w:tcPr>
            <w:tcW w:w="425" w:type="dxa"/>
            <w:tcBorders>
              <w:top w:val="nil"/>
              <w:left w:val="nil"/>
              <w:bottom w:val="single" w:color="auto" w:sz="4" w:space="0"/>
              <w:right w:val="single" w:color="auto" w:sz="4" w:space="0"/>
            </w:tcBorders>
            <w:shd w:val="clear" w:color="auto" w:fill="auto"/>
            <w:noWrap/>
            <w:vAlign w:val="center"/>
          </w:tcPr>
          <w:p w14:paraId="132B69E1">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3600</w:t>
            </w:r>
          </w:p>
        </w:tc>
        <w:tc>
          <w:tcPr>
            <w:tcW w:w="851" w:type="dxa"/>
            <w:tcBorders>
              <w:top w:val="nil"/>
              <w:left w:val="nil"/>
              <w:bottom w:val="single" w:color="auto" w:sz="4" w:space="0"/>
              <w:right w:val="single" w:color="auto" w:sz="4" w:space="0"/>
            </w:tcBorders>
            <w:shd w:val="clear" w:color="auto" w:fill="auto"/>
            <w:noWrap/>
            <w:vAlign w:val="center"/>
          </w:tcPr>
          <w:p w14:paraId="0389A460">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6.00 </w:t>
            </w:r>
          </w:p>
        </w:tc>
        <w:tc>
          <w:tcPr>
            <w:tcW w:w="850" w:type="dxa"/>
            <w:tcBorders>
              <w:top w:val="nil"/>
              <w:left w:val="nil"/>
              <w:bottom w:val="single" w:color="auto" w:sz="4" w:space="0"/>
              <w:right w:val="single" w:color="auto" w:sz="4" w:space="0"/>
            </w:tcBorders>
            <w:shd w:val="clear" w:color="auto" w:fill="auto"/>
            <w:noWrap/>
            <w:vAlign w:val="center"/>
          </w:tcPr>
          <w:p w14:paraId="52739CDD">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10.00 </w:t>
            </w:r>
          </w:p>
        </w:tc>
        <w:tc>
          <w:tcPr>
            <w:tcW w:w="1276" w:type="dxa"/>
            <w:tcBorders>
              <w:top w:val="nil"/>
              <w:left w:val="nil"/>
              <w:bottom w:val="single" w:color="auto" w:sz="4" w:space="0"/>
              <w:right w:val="single" w:color="auto" w:sz="4" w:space="0"/>
            </w:tcBorders>
            <w:shd w:val="clear" w:color="auto" w:fill="auto"/>
            <w:noWrap/>
            <w:vAlign w:val="center"/>
          </w:tcPr>
          <w:p w14:paraId="3855A7A6">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21600.00 </w:t>
            </w:r>
          </w:p>
        </w:tc>
        <w:tc>
          <w:tcPr>
            <w:tcW w:w="1134" w:type="dxa"/>
            <w:tcBorders>
              <w:top w:val="nil"/>
              <w:left w:val="nil"/>
              <w:bottom w:val="single" w:color="auto" w:sz="4" w:space="0"/>
              <w:right w:val="single" w:color="auto" w:sz="4" w:space="0"/>
            </w:tcBorders>
            <w:shd w:val="clear" w:color="auto" w:fill="auto"/>
            <w:noWrap/>
            <w:vAlign w:val="center"/>
          </w:tcPr>
          <w:p w14:paraId="490D4B38">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36000.00 </w:t>
            </w:r>
          </w:p>
        </w:tc>
      </w:tr>
      <w:tr w14:paraId="0FB599E4">
        <w:tblPrEx>
          <w:tblCellMar>
            <w:top w:w="0" w:type="dxa"/>
            <w:left w:w="108" w:type="dxa"/>
            <w:bottom w:w="0" w:type="dxa"/>
            <w:right w:w="108" w:type="dxa"/>
          </w:tblCellMar>
        </w:tblPrEx>
        <w:trPr>
          <w:trHeight w:val="849"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397529C2">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4</w:t>
            </w:r>
          </w:p>
        </w:tc>
        <w:tc>
          <w:tcPr>
            <w:tcW w:w="4537" w:type="dxa"/>
            <w:tcBorders>
              <w:top w:val="nil"/>
              <w:left w:val="nil"/>
              <w:bottom w:val="single" w:color="auto" w:sz="4" w:space="0"/>
              <w:right w:val="single" w:color="auto" w:sz="4" w:space="0"/>
            </w:tcBorders>
            <w:shd w:val="clear" w:color="auto" w:fill="auto"/>
            <w:vAlign w:val="center"/>
          </w:tcPr>
          <w:p w14:paraId="5ECFB72A">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线管</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PVC管，国标32*2mm厚度，环保PVC材质，防冻耐晒，防裂抗压</w:t>
            </w:r>
          </w:p>
        </w:tc>
        <w:tc>
          <w:tcPr>
            <w:tcW w:w="425" w:type="dxa"/>
            <w:tcBorders>
              <w:top w:val="nil"/>
              <w:left w:val="nil"/>
              <w:bottom w:val="single" w:color="auto" w:sz="4" w:space="0"/>
              <w:right w:val="single" w:color="auto" w:sz="4" w:space="0"/>
            </w:tcBorders>
            <w:shd w:val="clear" w:color="auto" w:fill="auto"/>
            <w:vAlign w:val="center"/>
          </w:tcPr>
          <w:p w14:paraId="61B2AF3B">
            <w:pPr>
              <w:widowControl/>
              <w:wordWrap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米</w:t>
            </w:r>
          </w:p>
        </w:tc>
        <w:tc>
          <w:tcPr>
            <w:tcW w:w="425" w:type="dxa"/>
            <w:tcBorders>
              <w:top w:val="nil"/>
              <w:left w:val="nil"/>
              <w:bottom w:val="single" w:color="auto" w:sz="4" w:space="0"/>
              <w:right w:val="single" w:color="auto" w:sz="4" w:space="0"/>
            </w:tcBorders>
            <w:shd w:val="clear" w:color="auto" w:fill="auto"/>
            <w:noWrap/>
            <w:vAlign w:val="center"/>
          </w:tcPr>
          <w:p w14:paraId="1EF956A2">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3600</w:t>
            </w:r>
          </w:p>
        </w:tc>
        <w:tc>
          <w:tcPr>
            <w:tcW w:w="851" w:type="dxa"/>
            <w:tcBorders>
              <w:top w:val="nil"/>
              <w:left w:val="nil"/>
              <w:bottom w:val="single" w:color="auto" w:sz="4" w:space="0"/>
              <w:right w:val="single" w:color="auto" w:sz="4" w:space="0"/>
            </w:tcBorders>
            <w:shd w:val="clear" w:color="auto" w:fill="auto"/>
            <w:noWrap/>
            <w:vAlign w:val="center"/>
          </w:tcPr>
          <w:p w14:paraId="5E7D436A">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6.00 </w:t>
            </w:r>
          </w:p>
        </w:tc>
        <w:tc>
          <w:tcPr>
            <w:tcW w:w="850" w:type="dxa"/>
            <w:tcBorders>
              <w:top w:val="nil"/>
              <w:left w:val="nil"/>
              <w:bottom w:val="single" w:color="auto" w:sz="4" w:space="0"/>
              <w:right w:val="single" w:color="auto" w:sz="4" w:space="0"/>
            </w:tcBorders>
            <w:shd w:val="clear" w:color="auto" w:fill="auto"/>
            <w:noWrap/>
            <w:vAlign w:val="center"/>
          </w:tcPr>
          <w:p w14:paraId="06902D0D">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10.00 </w:t>
            </w:r>
          </w:p>
        </w:tc>
        <w:tc>
          <w:tcPr>
            <w:tcW w:w="1276" w:type="dxa"/>
            <w:tcBorders>
              <w:top w:val="nil"/>
              <w:left w:val="nil"/>
              <w:bottom w:val="single" w:color="auto" w:sz="4" w:space="0"/>
              <w:right w:val="single" w:color="auto" w:sz="4" w:space="0"/>
            </w:tcBorders>
            <w:shd w:val="clear" w:color="auto" w:fill="auto"/>
            <w:noWrap/>
            <w:vAlign w:val="center"/>
          </w:tcPr>
          <w:p w14:paraId="641D02A5">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21600.00 </w:t>
            </w:r>
          </w:p>
        </w:tc>
        <w:tc>
          <w:tcPr>
            <w:tcW w:w="1134" w:type="dxa"/>
            <w:tcBorders>
              <w:top w:val="nil"/>
              <w:left w:val="nil"/>
              <w:bottom w:val="single" w:color="auto" w:sz="4" w:space="0"/>
              <w:right w:val="single" w:color="auto" w:sz="4" w:space="0"/>
            </w:tcBorders>
            <w:shd w:val="clear" w:color="auto" w:fill="auto"/>
            <w:noWrap/>
            <w:vAlign w:val="center"/>
          </w:tcPr>
          <w:p w14:paraId="47FB5340">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36000.00 </w:t>
            </w:r>
          </w:p>
        </w:tc>
      </w:tr>
      <w:tr w14:paraId="41EF6B64">
        <w:tblPrEx>
          <w:tblCellMar>
            <w:top w:w="0" w:type="dxa"/>
            <w:left w:w="108" w:type="dxa"/>
            <w:bottom w:w="0" w:type="dxa"/>
            <w:right w:w="108" w:type="dxa"/>
          </w:tblCellMar>
        </w:tblPrEx>
        <w:trPr>
          <w:trHeight w:val="566"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44DD78EC">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5</w:t>
            </w:r>
          </w:p>
        </w:tc>
        <w:tc>
          <w:tcPr>
            <w:tcW w:w="4537" w:type="dxa"/>
            <w:tcBorders>
              <w:top w:val="nil"/>
              <w:left w:val="nil"/>
              <w:bottom w:val="single" w:color="auto" w:sz="4" w:space="0"/>
              <w:right w:val="single" w:color="auto" w:sz="4" w:space="0"/>
            </w:tcBorders>
            <w:shd w:val="clear" w:color="auto" w:fill="auto"/>
            <w:vAlign w:val="center"/>
          </w:tcPr>
          <w:p w14:paraId="7F74DF4E">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电源插排</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六插位，线长5米</w:t>
            </w:r>
          </w:p>
        </w:tc>
        <w:tc>
          <w:tcPr>
            <w:tcW w:w="425" w:type="dxa"/>
            <w:tcBorders>
              <w:top w:val="nil"/>
              <w:left w:val="nil"/>
              <w:bottom w:val="single" w:color="auto" w:sz="4" w:space="0"/>
              <w:right w:val="single" w:color="auto" w:sz="4" w:space="0"/>
            </w:tcBorders>
            <w:shd w:val="clear" w:color="auto" w:fill="auto"/>
            <w:vAlign w:val="center"/>
          </w:tcPr>
          <w:p w14:paraId="41A7B0EA">
            <w:pPr>
              <w:widowControl/>
              <w:wordWrap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个</w:t>
            </w:r>
          </w:p>
        </w:tc>
        <w:tc>
          <w:tcPr>
            <w:tcW w:w="425" w:type="dxa"/>
            <w:tcBorders>
              <w:top w:val="nil"/>
              <w:left w:val="nil"/>
              <w:bottom w:val="single" w:color="auto" w:sz="4" w:space="0"/>
              <w:right w:val="single" w:color="auto" w:sz="4" w:space="0"/>
            </w:tcBorders>
            <w:shd w:val="clear" w:color="auto" w:fill="auto"/>
            <w:noWrap/>
            <w:vAlign w:val="center"/>
          </w:tcPr>
          <w:p w14:paraId="593AEB54">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9</w:t>
            </w:r>
          </w:p>
        </w:tc>
        <w:tc>
          <w:tcPr>
            <w:tcW w:w="851" w:type="dxa"/>
            <w:tcBorders>
              <w:top w:val="nil"/>
              <w:left w:val="nil"/>
              <w:bottom w:val="single" w:color="auto" w:sz="4" w:space="0"/>
              <w:right w:val="single" w:color="auto" w:sz="4" w:space="0"/>
            </w:tcBorders>
            <w:shd w:val="clear" w:color="auto" w:fill="auto"/>
            <w:noWrap/>
            <w:vAlign w:val="center"/>
          </w:tcPr>
          <w:p w14:paraId="4462EC0D">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100.00 </w:t>
            </w:r>
          </w:p>
        </w:tc>
        <w:tc>
          <w:tcPr>
            <w:tcW w:w="850" w:type="dxa"/>
            <w:tcBorders>
              <w:top w:val="nil"/>
              <w:left w:val="nil"/>
              <w:bottom w:val="single" w:color="auto" w:sz="4" w:space="0"/>
              <w:right w:val="single" w:color="auto" w:sz="4" w:space="0"/>
            </w:tcBorders>
            <w:shd w:val="clear" w:color="auto" w:fill="auto"/>
            <w:noWrap/>
            <w:vAlign w:val="center"/>
          </w:tcPr>
          <w:p w14:paraId="22069633">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10.00 </w:t>
            </w:r>
          </w:p>
        </w:tc>
        <w:tc>
          <w:tcPr>
            <w:tcW w:w="1276" w:type="dxa"/>
            <w:tcBorders>
              <w:top w:val="nil"/>
              <w:left w:val="nil"/>
              <w:bottom w:val="single" w:color="auto" w:sz="4" w:space="0"/>
              <w:right w:val="single" w:color="auto" w:sz="4" w:space="0"/>
            </w:tcBorders>
            <w:shd w:val="clear" w:color="auto" w:fill="auto"/>
            <w:noWrap/>
            <w:vAlign w:val="center"/>
          </w:tcPr>
          <w:p w14:paraId="71BCF672">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900.00 </w:t>
            </w:r>
          </w:p>
        </w:tc>
        <w:tc>
          <w:tcPr>
            <w:tcW w:w="1134" w:type="dxa"/>
            <w:tcBorders>
              <w:top w:val="nil"/>
              <w:left w:val="nil"/>
              <w:bottom w:val="single" w:color="auto" w:sz="4" w:space="0"/>
              <w:right w:val="single" w:color="auto" w:sz="4" w:space="0"/>
            </w:tcBorders>
            <w:shd w:val="clear" w:color="auto" w:fill="auto"/>
            <w:noWrap/>
            <w:vAlign w:val="center"/>
          </w:tcPr>
          <w:p w14:paraId="79475E09">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90.00 </w:t>
            </w:r>
          </w:p>
        </w:tc>
      </w:tr>
      <w:tr w14:paraId="76FC5B6B">
        <w:tblPrEx>
          <w:tblCellMar>
            <w:top w:w="0" w:type="dxa"/>
            <w:left w:w="108" w:type="dxa"/>
            <w:bottom w:w="0" w:type="dxa"/>
            <w:right w:w="108" w:type="dxa"/>
          </w:tblCellMar>
        </w:tblPrEx>
        <w:trPr>
          <w:trHeight w:val="1415"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18F7B95E">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6</w:t>
            </w:r>
          </w:p>
        </w:tc>
        <w:tc>
          <w:tcPr>
            <w:tcW w:w="4537" w:type="dxa"/>
            <w:tcBorders>
              <w:top w:val="nil"/>
              <w:left w:val="nil"/>
              <w:bottom w:val="single" w:color="auto" w:sz="4" w:space="0"/>
              <w:right w:val="single" w:color="auto" w:sz="4" w:space="0"/>
            </w:tcBorders>
            <w:shd w:val="clear" w:color="auto" w:fill="auto"/>
            <w:vAlign w:val="center"/>
          </w:tcPr>
          <w:p w14:paraId="728EFD0C">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太阳能板</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太阳能板功率＞380W，24V配高效控制器，最大充电电流10.7A，工作电压36.5V；热镀锌C型钢太阳能板支架，2条前立柱400mm，2条后立柱800mm,2条斜梁1500mm，2条斜撑700mm</w:t>
            </w:r>
          </w:p>
        </w:tc>
        <w:tc>
          <w:tcPr>
            <w:tcW w:w="425" w:type="dxa"/>
            <w:tcBorders>
              <w:top w:val="nil"/>
              <w:left w:val="nil"/>
              <w:bottom w:val="single" w:color="auto" w:sz="4" w:space="0"/>
              <w:right w:val="single" w:color="auto" w:sz="4" w:space="0"/>
            </w:tcBorders>
            <w:shd w:val="clear" w:color="auto" w:fill="auto"/>
            <w:vAlign w:val="center"/>
          </w:tcPr>
          <w:p w14:paraId="728EB483">
            <w:pPr>
              <w:widowControl/>
              <w:wordWrap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台</w:t>
            </w:r>
          </w:p>
        </w:tc>
        <w:tc>
          <w:tcPr>
            <w:tcW w:w="425" w:type="dxa"/>
            <w:tcBorders>
              <w:top w:val="nil"/>
              <w:left w:val="nil"/>
              <w:bottom w:val="single" w:color="auto" w:sz="4" w:space="0"/>
              <w:right w:val="single" w:color="auto" w:sz="4" w:space="0"/>
            </w:tcBorders>
            <w:shd w:val="clear" w:color="auto" w:fill="auto"/>
            <w:noWrap/>
            <w:vAlign w:val="center"/>
          </w:tcPr>
          <w:p w14:paraId="67AFE8DE">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6</w:t>
            </w:r>
          </w:p>
        </w:tc>
        <w:tc>
          <w:tcPr>
            <w:tcW w:w="851" w:type="dxa"/>
            <w:tcBorders>
              <w:top w:val="nil"/>
              <w:left w:val="nil"/>
              <w:bottom w:val="single" w:color="auto" w:sz="4" w:space="0"/>
              <w:right w:val="single" w:color="auto" w:sz="4" w:space="0"/>
            </w:tcBorders>
            <w:shd w:val="clear" w:color="auto" w:fill="auto"/>
            <w:noWrap/>
            <w:vAlign w:val="center"/>
          </w:tcPr>
          <w:p w14:paraId="62858069">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3200.00 </w:t>
            </w:r>
          </w:p>
        </w:tc>
        <w:tc>
          <w:tcPr>
            <w:tcW w:w="850" w:type="dxa"/>
            <w:tcBorders>
              <w:top w:val="nil"/>
              <w:left w:val="nil"/>
              <w:bottom w:val="single" w:color="auto" w:sz="4" w:space="0"/>
              <w:right w:val="single" w:color="auto" w:sz="4" w:space="0"/>
            </w:tcBorders>
            <w:shd w:val="clear" w:color="auto" w:fill="auto"/>
            <w:noWrap/>
            <w:vAlign w:val="center"/>
          </w:tcPr>
          <w:p w14:paraId="369C2E56">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2880.00 </w:t>
            </w:r>
          </w:p>
        </w:tc>
        <w:tc>
          <w:tcPr>
            <w:tcW w:w="1276" w:type="dxa"/>
            <w:tcBorders>
              <w:top w:val="nil"/>
              <w:left w:val="nil"/>
              <w:bottom w:val="single" w:color="auto" w:sz="4" w:space="0"/>
              <w:right w:val="single" w:color="auto" w:sz="4" w:space="0"/>
            </w:tcBorders>
            <w:shd w:val="clear" w:color="auto" w:fill="auto"/>
            <w:noWrap/>
            <w:vAlign w:val="center"/>
          </w:tcPr>
          <w:p w14:paraId="20AA6C31">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19200.00 </w:t>
            </w:r>
          </w:p>
        </w:tc>
        <w:tc>
          <w:tcPr>
            <w:tcW w:w="1134" w:type="dxa"/>
            <w:tcBorders>
              <w:top w:val="nil"/>
              <w:left w:val="nil"/>
              <w:bottom w:val="single" w:color="auto" w:sz="4" w:space="0"/>
              <w:right w:val="single" w:color="auto" w:sz="4" w:space="0"/>
            </w:tcBorders>
            <w:shd w:val="clear" w:color="auto" w:fill="auto"/>
            <w:noWrap/>
            <w:vAlign w:val="center"/>
          </w:tcPr>
          <w:p w14:paraId="45054A33">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17280.00 </w:t>
            </w:r>
          </w:p>
        </w:tc>
      </w:tr>
      <w:tr w14:paraId="3A707B33">
        <w:tblPrEx>
          <w:tblCellMar>
            <w:top w:w="0" w:type="dxa"/>
            <w:left w:w="108" w:type="dxa"/>
            <w:bottom w:w="0" w:type="dxa"/>
            <w:right w:w="108" w:type="dxa"/>
          </w:tblCellMar>
        </w:tblPrEx>
        <w:trPr>
          <w:trHeight w:val="849"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4A4C105B">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7</w:t>
            </w:r>
          </w:p>
        </w:tc>
        <w:tc>
          <w:tcPr>
            <w:tcW w:w="4537" w:type="dxa"/>
            <w:tcBorders>
              <w:top w:val="nil"/>
              <w:left w:val="nil"/>
              <w:bottom w:val="single" w:color="auto" w:sz="4" w:space="0"/>
              <w:right w:val="single" w:color="auto" w:sz="4" w:space="0"/>
            </w:tcBorders>
            <w:shd w:val="clear" w:color="auto" w:fill="auto"/>
            <w:vAlign w:val="center"/>
          </w:tcPr>
          <w:p w14:paraId="631C4FE5">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锂电池</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锂电池容量≥200Ah，外壳采用全新的隔离板AGM+PP ABS阻燃材料，具有低温加热功能</w:t>
            </w:r>
          </w:p>
        </w:tc>
        <w:tc>
          <w:tcPr>
            <w:tcW w:w="425" w:type="dxa"/>
            <w:tcBorders>
              <w:top w:val="nil"/>
              <w:left w:val="nil"/>
              <w:bottom w:val="single" w:color="auto" w:sz="4" w:space="0"/>
              <w:right w:val="single" w:color="auto" w:sz="4" w:space="0"/>
            </w:tcBorders>
            <w:shd w:val="clear" w:color="auto" w:fill="auto"/>
            <w:vAlign w:val="center"/>
          </w:tcPr>
          <w:p w14:paraId="5031E00E">
            <w:pPr>
              <w:widowControl/>
              <w:wordWrap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套</w:t>
            </w:r>
          </w:p>
        </w:tc>
        <w:tc>
          <w:tcPr>
            <w:tcW w:w="425" w:type="dxa"/>
            <w:tcBorders>
              <w:top w:val="nil"/>
              <w:left w:val="nil"/>
              <w:bottom w:val="single" w:color="auto" w:sz="4" w:space="0"/>
              <w:right w:val="single" w:color="auto" w:sz="4" w:space="0"/>
            </w:tcBorders>
            <w:shd w:val="clear" w:color="auto" w:fill="auto"/>
            <w:noWrap/>
            <w:vAlign w:val="center"/>
          </w:tcPr>
          <w:p w14:paraId="246D4717">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6</w:t>
            </w:r>
          </w:p>
        </w:tc>
        <w:tc>
          <w:tcPr>
            <w:tcW w:w="851" w:type="dxa"/>
            <w:tcBorders>
              <w:top w:val="nil"/>
              <w:left w:val="nil"/>
              <w:bottom w:val="single" w:color="auto" w:sz="4" w:space="0"/>
              <w:right w:val="single" w:color="auto" w:sz="4" w:space="0"/>
            </w:tcBorders>
            <w:shd w:val="clear" w:color="auto" w:fill="auto"/>
            <w:noWrap/>
            <w:vAlign w:val="center"/>
          </w:tcPr>
          <w:p w14:paraId="0F4CF435">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3700.00 </w:t>
            </w:r>
          </w:p>
        </w:tc>
        <w:tc>
          <w:tcPr>
            <w:tcW w:w="850" w:type="dxa"/>
            <w:tcBorders>
              <w:top w:val="nil"/>
              <w:left w:val="nil"/>
              <w:bottom w:val="single" w:color="auto" w:sz="4" w:space="0"/>
              <w:right w:val="single" w:color="auto" w:sz="4" w:space="0"/>
            </w:tcBorders>
            <w:shd w:val="clear" w:color="auto" w:fill="auto"/>
            <w:noWrap/>
            <w:vAlign w:val="center"/>
          </w:tcPr>
          <w:p w14:paraId="1641473C">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2500.00 </w:t>
            </w:r>
          </w:p>
        </w:tc>
        <w:tc>
          <w:tcPr>
            <w:tcW w:w="1276" w:type="dxa"/>
            <w:tcBorders>
              <w:top w:val="nil"/>
              <w:left w:val="nil"/>
              <w:bottom w:val="single" w:color="auto" w:sz="4" w:space="0"/>
              <w:right w:val="single" w:color="auto" w:sz="4" w:space="0"/>
            </w:tcBorders>
            <w:shd w:val="clear" w:color="auto" w:fill="auto"/>
            <w:noWrap/>
            <w:vAlign w:val="center"/>
          </w:tcPr>
          <w:p w14:paraId="61568231">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22200.00 </w:t>
            </w:r>
          </w:p>
        </w:tc>
        <w:tc>
          <w:tcPr>
            <w:tcW w:w="1134" w:type="dxa"/>
            <w:tcBorders>
              <w:top w:val="nil"/>
              <w:left w:val="nil"/>
              <w:bottom w:val="single" w:color="auto" w:sz="4" w:space="0"/>
              <w:right w:val="single" w:color="auto" w:sz="4" w:space="0"/>
            </w:tcBorders>
            <w:shd w:val="clear" w:color="auto" w:fill="auto"/>
            <w:noWrap/>
            <w:vAlign w:val="center"/>
          </w:tcPr>
          <w:p w14:paraId="4ECD70E2">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15000.00 </w:t>
            </w:r>
          </w:p>
        </w:tc>
      </w:tr>
      <w:tr w14:paraId="097B7389">
        <w:tblPrEx>
          <w:tblCellMar>
            <w:top w:w="0" w:type="dxa"/>
            <w:left w:w="108" w:type="dxa"/>
            <w:bottom w:w="0" w:type="dxa"/>
            <w:right w:w="108" w:type="dxa"/>
          </w:tblCellMar>
        </w:tblPrEx>
        <w:trPr>
          <w:trHeight w:val="1415"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083318FD">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8</w:t>
            </w:r>
          </w:p>
        </w:tc>
        <w:tc>
          <w:tcPr>
            <w:tcW w:w="4537" w:type="dxa"/>
            <w:tcBorders>
              <w:top w:val="nil"/>
              <w:left w:val="nil"/>
              <w:bottom w:val="single" w:color="auto" w:sz="4" w:space="0"/>
              <w:right w:val="single" w:color="auto" w:sz="4" w:space="0"/>
            </w:tcBorders>
            <w:shd w:val="clear" w:color="auto" w:fill="auto"/>
            <w:vAlign w:val="center"/>
          </w:tcPr>
          <w:p w14:paraId="2B526400">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立杆和围栏</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立杆：3.5米高，壁厚2.0，带球机横臂，配地笼和M8 0.4米避雷针，230*230*8厚法兰，上节外径76mm，下节外径114mm</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围栏：1.5米高，镀锌钢管，蓝白色，锌钢二横梁，加厚管壁，防腐防锈，耐高温，耐冲击，无毛刺，抗磨损</w:t>
            </w:r>
          </w:p>
        </w:tc>
        <w:tc>
          <w:tcPr>
            <w:tcW w:w="425" w:type="dxa"/>
            <w:tcBorders>
              <w:top w:val="nil"/>
              <w:left w:val="nil"/>
              <w:bottom w:val="single" w:color="auto" w:sz="4" w:space="0"/>
              <w:right w:val="single" w:color="auto" w:sz="4" w:space="0"/>
            </w:tcBorders>
            <w:shd w:val="clear" w:color="auto" w:fill="auto"/>
            <w:vAlign w:val="center"/>
          </w:tcPr>
          <w:p w14:paraId="12D30F6C">
            <w:pPr>
              <w:widowControl/>
              <w:wordWrap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套</w:t>
            </w:r>
          </w:p>
        </w:tc>
        <w:tc>
          <w:tcPr>
            <w:tcW w:w="425" w:type="dxa"/>
            <w:tcBorders>
              <w:top w:val="nil"/>
              <w:left w:val="nil"/>
              <w:bottom w:val="single" w:color="auto" w:sz="4" w:space="0"/>
              <w:right w:val="single" w:color="auto" w:sz="4" w:space="0"/>
            </w:tcBorders>
            <w:shd w:val="clear" w:color="auto" w:fill="auto"/>
            <w:noWrap/>
            <w:vAlign w:val="center"/>
          </w:tcPr>
          <w:p w14:paraId="46035749">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15</w:t>
            </w:r>
          </w:p>
        </w:tc>
        <w:tc>
          <w:tcPr>
            <w:tcW w:w="851" w:type="dxa"/>
            <w:tcBorders>
              <w:top w:val="nil"/>
              <w:left w:val="nil"/>
              <w:bottom w:val="single" w:color="auto" w:sz="4" w:space="0"/>
              <w:right w:val="single" w:color="auto" w:sz="4" w:space="0"/>
            </w:tcBorders>
            <w:shd w:val="clear" w:color="auto" w:fill="auto"/>
            <w:noWrap/>
            <w:vAlign w:val="center"/>
          </w:tcPr>
          <w:p w14:paraId="09385614">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3500.00 </w:t>
            </w:r>
          </w:p>
        </w:tc>
        <w:tc>
          <w:tcPr>
            <w:tcW w:w="850" w:type="dxa"/>
            <w:tcBorders>
              <w:top w:val="nil"/>
              <w:left w:val="nil"/>
              <w:bottom w:val="single" w:color="auto" w:sz="4" w:space="0"/>
              <w:right w:val="single" w:color="auto" w:sz="4" w:space="0"/>
            </w:tcBorders>
            <w:shd w:val="clear" w:color="auto" w:fill="auto"/>
            <w:noWrap/>
            <w:vAlign w:val="center"/>
          </w:tcPr>
          <w:p w14:paraId="514AE67A">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2300.00 </w:t>
            </w:r>
          </w:p>
        </w:tc>
        <w:tc>
          <w:tcPr>
            <w:tcW w:w="1276" w:type="dxa"/>
            <w:tcBorders>
              <w:top w:val="nil"/>
              <w:left w:val="nil"/>
              <w:bottom w:val="single" w:color="auto" w:sz="4" w:space="0"/>
              <w:right w:val="single" w:color="auto" w:sz="4" w:space="0"/>
            </w:tcBorders>
            <w:shd w:val="clear" w:color="auto" w:fill="auto"/>
            <w:noWrap/>
            <w:vAlign w:val="center"/>
          </w:tcPr>
          <w:p w14:paraId="4178AC6A">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52500.00 </w:t>
            </w:r>
          </w:p>
        </w:tc>
        <w:tc>
          <w:tcPr>
            <w:tcW w:w="1134" w:type="dxa"/>
            <w:tcBorders>
              <w:top w:val="nil"/>
              <w:left w:val="nil"/>
              <w:bottom w:val="single" w:color="auto" w:sz="4" w:space="0"/>
              <w:right w:val="single" w:color="auto" w:sz="4" w:space="0"/>
            </w:tcBorders>
            <w:shd w:val="clear" w:color="auto" w:fill="auto"/>
            <w:noWrap/>
            <w:vAlign w:val="center"/>
          </w:tcPr>
          <w:p w14:paraId="4D7B2D08">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34500.00 </w:t>
            </w:r>
          </w:p>
        </w:tc>
      </w:tr>
      <w:tr w14:paraId="7D7ECC4D">
        <w:trPr>
          <w:trHeight w:val="566"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600C0A43">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9</w:t>
            </w:r>
          </w:p>
        </w:tc>
        <w:tc>
          <w:tcPr>
            <w:tcW w:w="4537" w:type="dxa"/>
            <w:tcBorders>
              <w:top w:val="nil"/>
              <w:left w:val="nil"/>
              <w:bottom w:val="single" w:color="auto" w:sz="4" w:space="0"/>
              <w:right w:val="single" w:color="auto" w:sz="4" w:space="0"/>
            </w:tcBorders>
            <w:shd w:val="clear" w:color="auto" w:fill="auto"/>
            <w:vAlign w:val="center"/>
          </w:tcPr>
          <w:p w14:paraId="48F28EB8">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设备箱</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室外防雨，尺寸300*400*200mm，冷轧钢板材质，防腐防锈</w:t>
            </w:r>
          </w:p>
        </w:tc>
        <w:tc>
          <w:tcPr>
            <w:tcW w:w="425" w:type="dxa"/>
            <w:tcBorders>
              <w:top w:val="nil"/>
              <w:left w:val="nil"/>
              <w:bottom w:val="single" w:color="auto" w:sz="4" w:space="0"/>
              <w:right w:val="single" w:color="auto" w:sz="4" w:space="0"/>
            </w:tcBorders>
            <w:shd w:val="clear" w:color="auto" w:fill="auto"/>
            <w:vAlign w:val="center"/>
          </w:tcPr>
          <w:p w14:paraId="1C5A15A4">
            <w:pPr>
              <w:widowControl/>
              <w:wordWrap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个</w:t>
            </w:r>
          </w:p>
        </w:tc>
        <w:tc>
          <w:tcPr>
            <w:tcW w:w="425" w:type="dxa"/>
            <w:tcBorders>
              <w:top w:val="nil"/>
              <w:left w:val="nil"/>
              <w:bottom w:val="single" w:color="auto" w:sz="4" w:space="0"/>
              <w:right w:val="single" w:color="auto" w:sz="4" w:space="0"/>
            </w:tcBorders>
            <w:shd w:val="clear" w:color="auto" w:fill="auto"/>
            <w:noWrap/>
            <w:vAlign w:val="center"/>
          </w:tcPr>
          <w:p w14:paraId="46FD0487">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15</w:t>
            </w:r>
          </w:p>
        </w:tc>
        <w:tc>
          <w:tcPr>
            <w:tcW w:w="851" w:type="dxa"/>
            <w:tcBorders>
              <w:top w:val="nil"/>
              <w:left w:val="nil"/>
              <w:bottom w:val="single" w:color="auto" w:sz="4" w:space="0"/>
              <w:right w:val="single" w:color="auto" w:sz="4" w:space="0"/>
            </w:tcBorders>
            <w:shd w:val="clear" w:color="auto" w:fill="auto"/>
            <w:noWrap/>
            <w:vAlign w:val="center"/>
          </w:tcPr>
          <w:p w14:paraId="73A3819C">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680.00 </w:t>
            </w:r>
          </w:p>
        </w:tc>
        <w:tc>
          <w:tcPr>
            <w:tcW w:w="850" w:type="dxa"/>
            <w:tcBorders>
              <w:top w:val="nil"/>
              <w:left w:val="nil"/>
              <w:bottom w:val="single" w:color="auto" w:sz="4" w:space="0"/>
              <w:right w:val="single" w:color="auto" w:sz="4" w:space="0"/>
            </w:tcBorders>
            <w:shd w:val="clear" w:color="auto" w:fill="auto"/>
            <w:noWrap/>
            <w:vAlign w:val="center"/>
          </w:tcPr>
          <w:p w14:paraId="62B04451">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200.00 </w:t>
            </w:r>
          </w:p>
        </w:tc>
        <w:tc>
          <w:tcPr>
            <w:tcW w:w="1276" w:type="dxa"/>
            <w:tcBorders>
              <w:top w:val="nil"/>
              <w:left w:val="nil"/>
              <w:bottom w:val="single" w:color="auto" w:sz="4" w:space="0"/>
              <w:right w:val="single" w:color="auto" w:sz="4" w:space="0"/>
            </w:tcBorders>
            <w:shd w:val="clear" w:color="auto" w:fill="auto"/>
            <w:noWrap/>
            <w:vAlign w:val="center"/>
          </w:tcPr>
          <w:p w14:paraId="1F39C101">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10200.00 </w:t>
            </w:r>
          </w:p>
        </w:tc>
        <w:tc>
          <w:tcPr>
            <w:tcW w:w="1134" w:type="dxa"/>
            <w:tcBorders>
              <w:top w:val="nil"/>
              <w:left w:val="nil"/>
              <w:bottom w:val="single" w:color="auto" w:sz="4" w:space="0"/>
              <w:right w:val="single" w:color="auto" w:sz="4" w:space="0"/>
            </w:tcBorders>
            <w:shd w:val="clear" w:color="auto" w:fill="auto"/>
            <w:noWrap/>
            <w:vAlign w:val="center"/>
          </w:tcPr>
          <w:p w14:paraId="05ADF438">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3000.00 </w:t>
            </w:r>
          </w:p>
        </w:tc>
      </w:tr>
      <w:tr w14:paraId="5DDA5DED">
        <w:tblPrEx>
          <w:tblCellMar>
            <w:top w:w="0" w:type="dxa"/>
            <w:left w:w="108" w:type="dxa"/>
            <w:bottom w:w="0" w:type="dxa"/>
            <w:right w:w="108" w:type="dxa"/>
          </w:tblCellMar>
        </w:tblPrEx>
        <w:trPr>
          <w:trHeight w:val="849"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04709C83">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10</w:t>
            </w:r>
          </w:p>
        </w:tc>
        <w:tc>
          <w:tcPr>
            <w:tcW w:w="4537" w:type="dxa"/>
            <w:tcBorders>
              <w:top w:val="nil"/>
              <w:left w:val="nil"/>
              <w:bottom w:val="single" w:color="auto" w:sz="4" w:space="0"/>
              <w:right w:val="single" w:color="auto" w:sz="4" w:space="0"/>
            </w:tcBorders>
            <w:shd w:val="clear" w:color="auto" w:fill="auto"/>
            <w:vAlign w:val="center"/>
          </w:tcPr>
          <w:p w14:paraId="6F310EDA">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机柜</w:t>
            </w: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户外防水，尺寸1000*600*350mm，不锈钢材质，不锈钢三联铰链和金属锁芯，侧面通风口</w:t>
            </w:r>
          </w:p>
        </w:tc>
        <w:tc>
          <w:tcPr>
            <w:tcW w:w="425" w:type="dxa"/>
            <w:tcBorders>
              <w:top w:val="nil"/>
              <w:left w:val="nil"/>
              <w:bottom w:val="single" w:color="auto" w:sz="4" w:space="0"/>
              <w:right w:val="single" w:color="auto" w:sz="4" w:space="0"/>
            </w:tcBorders>
            <w:shd w:val="clear" w:color="auto" w:fill="auto"/>
            <w:vAlign w:val="center"/>
          </w:tcPr>
          <w:p w14:paraId="4813A30D">
            <w:pPr>
              <w:widowControl/>
              <w:wordWrap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个</w:t>
            </w:r>
          </w:p>
        </w:tc>
        <w:tc>
          <w:tcPr>
            <w:tcW w:w="425" w:type="dxa"/>
            <w:tcBorders>
              <w:top w:val="nil"/>
              <w:left w:val="nil"/>
              <w:bottom w:val="single" w:color="auto" w:sz="4" w:space="0"/>
              <w:right w:val="single" w:color="auto" w:sz="4" w:space="0"/>
            </w:tcBorders>
            <w:shd w:val="clear" w:color="auto" w:fill="auto"/>
            <w:noWrap/>
            <w:vAlign w:val="center"/>
          </w:tcPr>
          <w:p w14:paraId="34630C41">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15</w:t>
            </w:r>
          </w:p>
        </w:tc>
        <w:tc>
          <w:tcPr>
            <w:tcW w:w="851" w:type="dxa"/>
            <w:tcBorders>
              <w:top w:val="nil"/>
              <w:left w:val="nil"/>
              <w:bottom w:val="single" w:color="auto" w:sz="4" w:space="0"/>
              <w:right w:val="single" w:color="auto" w:sz="4" w:space="0"/>
            </w:tcBorders>
            <w:shd w:val="clear" w:color="auto" w:fill="auto"/>
            <w:noWrap/>
            <w:vAlign w:val="center"/>
          </w:tcPr>
          <w:p w14:paraId="56D9EDFB">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2300.00 </w:t>
            </w:r>
          </w:p>
        </w:tc>
        <w:tc>
          <w:tcPr>
            <w:tcW w:w="850" w:type="dxa"/>
            <w:tcBorders>
              <w:top w:val="nil"/>
              <w:left w:val="nil"/>
              <w:bottom w:val="single" w:color="auto" w:sz="4" w:space="0"/>
              <w:right w:val="single" w:color="auto" w:sz="4" w:space="0"/>
            </w:tcBorders>
            <w:shd w:val="clear" w:color="auto" w:fill="auto"/>
            <w:noWrap/>
            <w:vAlign w:val="center"/>
          </w:tcPr>
          <w:p w14:paraId="018BA442">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1318.67 </w:t>
            </w:r>
          </w:p>
        </w:tc>
        <w:tc>
          <w:tcPr>
            <w:tcW w:w="1276" w:type="dxa"/>
            <w:tcBorders>
              <w:top w:val="nil"/>
              <w:left w:val="nil"/>
              <w:bottom w:val="single" w:color="auto" w:sz="4" w:space="0"/>
              <w:right w:val="single" w:color="auto" w:sz="4" w:space="0"/>
            </w:tcBorders>
            <w:shd w:val="clear" w:color="auto" w:fill="auto"/>
            <w:noWrap/>
            <w:vAlign w:val="center"/>
          </w:tcPr>
          <w:p w14:paraId="652924EE">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34500.00 </w:t>
            </w:r>
          </w:p>
        </w:tc>
        <w:tc>
          <w:tcPr>
            <w:tcW w:w="1134" w:type="dxa"/>
            <w:tcBorders>
              <w:top w:val="nil"/>
              <w:left w:val="nil"/>
              <w:bottom w:val="single" w:color="auto" w:sz="4" w:space="0"/>
              <w:right w:val="single" w:color="auto" w:sz="4" w:space="0"/>
            </w:tcBorders>
            <w:shd w:val="clear" w:color="auto" w:fill="auto"/>
            <w:noWrap/>
            <w:vAlign w:val="center"/>
          </w:tcPr>
          <w:p w14:paraId="767ABE10">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19780.05 </w:t>
            </w:r>
          </w:p>
        </w:tc>
      </w:tr>
      <w:tr w14:paraId="36B5BBCB">
        <w:tblPrEx>
          <w:tblCellMar>
            <w:top w:w="0" w:type="dxa"/>
            <w:left w:w="108" w:type="dxa"/>
            <w:bottom w:w="0" w:type="dxa"/>
            <w:right w:w="108" w:type="dxa"/>
          </w:tblCellMar>
        </w:tblPrEx>
        <w:trPr>
          <w:trHeight w:val="849"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1D523F84">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11</w:t>
            </w:r>
          </w:p>
        </w:tc>
        <w:tc>
          <w:tcPr>
            <w:tcW w:w="4537" w:type="dxa"/>
            <w:tcBorders>
              <w:top w:val="nil"/>
              <w:left w:val="nil"/>
              <w:bottom w:val="single" w:color="auto" w:sz="4" w:space="0"/>
              <w:right w:val="single" w:color="auto" w:sz="4" w:space="0"/>
            </w:tcBorders>
            <w:shd w:val="clear" w:color="auto" w:fill="auto"/>
            <w:vAlign w:val="center"/>
          </w:tcPr>
          <w:p w14:paraId="775B6C70">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三年视频流量卡</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用于摄像头，4G流量卡，30G/月流量，移动、电信、联通均支持</w:t>
            </w:r>
          </w:p>
        </w:tc>
        <w:tc>
          <w:tcPr>
            <w:tcW w:w="425" w:type="dxa"/>
            <w:tcBorders>
              <w:top w:val="nil"/>
              <w:left w:val="nil"/>
              <w:bottom w:val="single" w:color="auto" w:sz="4" w:space="0"/>
              <w:right w:val="single" w:color="auto" w:sz="4" w:space="0"/>
            </w:tcBorders>
            <w:shd w:val="clear" w:color="auto" w:fill="auto"/>
            <w:vAlign w:val="center"/>
          </w:tcPr>
          <w:p w14:paraId="095BFB74">
            <w:pPr>
              <w:widowControl/>
              <w:wordWrap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张</w:t>
            </w:r>
          </w:p>
        </w:tc>
        <w:tc>
          <w:tcPr>
            <w:tcW w:w="425" w:type="dxa"/>
            <w:tcBorders>
              <w:top w:val="nil"/>
              <w:left w:val="nil"/>
              <w:bottom w:val="single" w:color="auto" w:sz="4" w:space="0"/>
              <w:right w:val="single" w:color="auto" w:sz="4" w:space="0"/>
            </w:tcBorders>
            <w:shd w:val="clear" w:color="auto" w:fill="auto"/>
            <w:noWrap/>
            <w:vAlign w:val="center"/>
          </w:tcPr>
          <w:p w14:paraId="28CA40DF">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15</w:t>
            </w:r>
          </w:p>
        </w:tc>
        <w:tc>
          <w:tcPr>
            <w:tcW w:w="851" w:type="dxa"/>
            <w:tcBorders>
              <w:top w:val="nil"/>
              <w:left w:val="nil"/>
              <w:bottom w:val="single" w:color="auto" w:sz="4" w:space="0"/>
              <w:right w:val="single" w:color="auto" w:sz="4" w:space="0"/>
            </w:tcBorders>
            <w:shd w:val="clear" w:color="auto" w:fill="auto"/>
            <w:noWrap/>
            <w:vAlign w:val="center"/>
          </w:tcPr>
          <w:p w14:paraId="72277989">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1500.00 </w:t>
            </w:r>
          </w:p>
        </w:tc>
        <w:tc>
          <w:tcPr>
            <w:tcW w:w="850" w:type="dxa"/>
            <w:tcBorders>
              <w:top w:val="nil"/>
              <w:left w:val="nil"/>
              <w:bottom w:val="single" w:color="auto" w:sz="4" w:space="0"/>
              <w:right w:val="single" w:color="auto" w:sz="4" w:space="0"/>
            </w:tcBorders>
            <w:shd w:val="clear" w:color="auto" w:fill="auto"/>
            <w:noWrap/>
            <w:vAlign w:val="center"/>
          </w:tcPr>
          <w:p w14:paraId="6F6E6465">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10.00 </w:t>
            </w:r>
          </w:p>
        </w:tc>
        <w:tc>
          <w:tcPr>
            <w:tcW w:w="1276" w:type="dxa"/>
            <w:tcBorders>
              <w:top w:val="nil"/>
              <w:left w:val="nil"/>
              <w:bottom w:val="single" w:color="auto" w:sz="4" w:space="0"/>
              <w:right w:val="single" w:color="auto" w:sz="4" w:space="0"/>
            </w:tcBorders>
            <w:shd w:val="clear" w:color="auto" w:fill="auto"/>
            <w:noWrap/>
            <w:vAlign w:val="center"/>
          </w:tcPr>
          <w:p w14:paraId="790E589F">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22500.00 </w:t>
            </w:r>
          </w:p>
        </w:tc>
        <w:tc>
          <w:tcPr>
            <w:tcW w:w="1134" w:type="dxa"/>
            <w:tcBorders>
              <w:top w:val="nil"/>
              <w:left w:val="nil"/>
              <w:bottom w:val="single" w:color="auto" w:sz="4" w:space="0"/>
              <w:right w:val="single" w:color="auto" w:sz="4" w:space="0"/>
            </w:tcBorders>
            <w:shd w:val="clear" w:color="auto" w:fill="auto"/>
            <w:noWrap/>
            <w:vAlign w:val="center"/>
          </w:tcPr>
          <w:p w14:paraId="366AB530">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150.00 </w:t>
            </w:r>
          </w:p>
        </w:tc>
      </w:tr>
      <w:tr w14:paraId="4BAB42E8">
        <w:tblPrEx>
          <w:tblCellMar>
            <w:top w:w="0" w:type="dxa"/>
            <w:left w:w="108" w:type="dxa"/>
            <w:bottom w:w="0" w:type="dxa"/>
            <w:right w:w="108" w:type="dxa"/>
          </w:tblCellMar>
        </w:tblPrEx>
        <w:trPr>
          <w:trHeight w:val="849" w:hRule="atLeast"/>
        </w:trPr>
        <w:tc>
          <w:tcPr>
            <w:tcW w:w="567" w:type="dxa"/>
            <w:tcBorders>
              <w:top w:val="nil"/>
              <w:left w:val="single" w:color="auto" w:sz="4" w:space="0"/>
              <w:bottom w:val="single" w:color="auto" w:sz="4" w:space="0"/>
              <w:right w:val="single" w:color="auto" w:sz="4" w:space="0"/>
            </w:tcBorders>
            <w:shd w:val="clear" w:color="auto" w:fill="auto"/>
            <w:vAlign w:val="center"/>
          </w:tcPr>
          <w:p w14:paraId="74F22DEA">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12</w:t>
            </w:r>
          </w:p>
        </w:tc>
        <w:tc>
          <w:tcPr>
            <w:tcW w:w="4537" w:type="dxa"/>
            <w:tcBorders>
              <w:top w:val="nil"/>
              <w:left w:val="nil"/>
              <w:bottom w:val="single" w:color="auto" w:sz="4" w:space="0"/>
              <w:right w:val="single" w:color="auto" w:sz="4" w:space="0"/>
            </w:tcBorders>
            <w:shd w:val="clear" w:color="auto" w:fill="auto"/>
            <w:vAlign w:val="center"/>
          </w:tcPr>
          <w:p w14:paraId="09D85BAD">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辅材</w:t>
            </w:r>
            <w:r>
              <w:rPr>
                <w:rFonts w:hint="eastAsia" w:ascii="宋体" w:hAnsi="宋体" w:eastAsia="宋体" w:cs="宋体"/>
                <w:color w:val="000000"/>
                <w:kern w:val="0"/>
                <w:sz w:val="20"/>
                <w:szCs w:val="20"/>
              </w:rPr>
              <w:br w:type="textWrapping"/>
            </w:r>
            <w:r>
              <w:rPr>
                <w:rFonts w:hint="eastAsia" w:ascii="宋体" w:hAnsi="宋体" w:eastAsia="宋体" w:cs="宋体"/>
                <w:color w:val="000000"/>
                <w:kern w:val="0"/>
                <w:sz w:val="20"/>
                <w:szCs w:val="20"/>
              </w:rPr>
              <w:t>15套存储卡、空开、漏保、防雷器、微电子定时器和开关电源，网线，信号线，接地棒，接地线，水泥沙子等</w:t>
            </w:r>
          </w:p>
        </w:tc>
        <w:tc>
          <w:tcPr>
            <w:tcW w:w="425" w:type="dxa"/>
            <w:tcBorders>
              <w:top w:val="nil"/>
              <w:left w:val="nil"/>
              <w:bottom w:val="single" w:color="auto" w:sz="4" w:space="0"/>
              <w:right w:val="single" w:color="auto" w:sz="4" w:space="0"/>
            </w:tcBorders>
            <w:shd w:val="clear" w:color="auto" w:fill="auto"/>
            <w:vAlign w:val="center"/>
          </w:tcPr>
          <w:p w14:paraId="4C41C474">
            <w:pPr>
              <w:widowControl/>
              <w:wordWrap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项</w:t>
            </w:r>
          </w:p>
        </w:tc>
        <w:tc>
          <w:tcPr>
            <w:tcW w:w="425" w:type="dxa"/>
            <w:tcBorders>
              <w:top w:val="nil"/>
              <w:left w:val="nil"/>
              <w:bottom w:val="single" w:color="auto" w:sz="4" w:space="0"/>
              <w:right w:val="single" w:color="auto" w:sz="4" w:space="0"/>
            </w:tcBorders>
            <w:shd w:val="clear" w:color="auto" w:fill="auto"/>
            <w:noWrap/>
            <w:vAlign w:val="center"/>
          </w:tcPr>
          <w:p w14:paraId="121A705B">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1</w:t>
            </w:r>
          </w:p>
        </w:tc>
        <w:tc>
          <w:tcPr>
            <w:tcW w:w="851" w:type="dxa"/>
            <w:tcBorders>
              <w:top w:val="nil"/>
              <w:left w:val="nil"/>
              <w:bottom w:val="single" w:color="auto" w:sz="4" w:space="0"/>
              <w:right w:val="single" w:color="auto" w:sz="4" w:space="0"/>
            </w:tcBorders>
            <w:shd w:val="clear" w:color="auto" w:fill="auto"/>
            <w:noWrap/>
            <w:vAlign w:val="center"/>
          </w:tcPr>
          <w:p w14:paraId="1B552136">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13538.00 </w:t>
            </w:r>
          </w:p>
        </w:tc>
        <w:tc>
          <w:tcPr>
            <w:tcW w:w="850" w:type="dxa"/>
            <w:tcBorders>
              <w:top w:val="nil"/>
              <w:left w:val="nil"/>
              <w:bottom w:val="single" w:color="auto" w:sz="4" w:space="0"/>
              <w:right w:val="single" w:color="auto" w:sz="4" w:space="0"/>
            </w:tcBorders>
            <w:shd w:val="clear" w:color="auto" w:fill="auto"/>
            <w:noWrap/>
            <w:vAlign w:val="center"/>
          </w:tcPr>
          <w:p w14:paraId="2BE7D967">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0.00 </w:t>
            </w:r>
          </w:p>
        </w:tc>
        <w:tc>
          <w:tcPr>
            <w:tcW w:w="1276" w:type="dxa"/>
            <w:tcBorders>
              <w:top w:val="nil"/>
              <w:left w:val="nil"/>
              <w:bottom w:val="single" w:color="auto" w:sz="4" w:space="0"/>
              <w:right w:val="single" w:color="auto" w:sz="4" w:space="0"/>
            </w:tcBorders>
            <w:shd w:val="clear" w:color="auto" w:fill="auto"/>
            <w:noWrap/>
            <w:vAlign w:val="center"/>
          </w:tcPr>
          <w:p w14:paraId="788C1483">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13538.00 </w:t>
            </w:r>
          </w:p>
        </w:tc>
        <w:tc>
          <w:tcPr>
            <w:tcW w:w="1134" w:type="dxa"/>
            <w:tcBorders>
              <w:top w:val="nil"/>
              <w:left w:val="nil"/>
              <w:bottom w:val="single" w:color="auto" w:sz="4" w:space="0"/>
              <w:right w:val="single" w:color="auto" w:sz="4" w:space="0"/>
            </w:tcBorders>
            <w:shd w:val="clear" w:color="auto" w:fill="auto"/>
            <w:noWrap/>
            <w:vAlign w:val="center"/>
          </w:tcPr>
          <w:p w14:paraId="30FBEC76">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0.00 </w:t>
            </w:r>
          </w:p>
        </w:tc>
      </w:tr>
      <w:tr w14:paraId="44170504">
        <w:tblPrEx>
          <w:tblCellMar>
            <w:top w:w="0" w:type="dxa"/>
            <w:left w:w="108" w:type="dxa"/>
            <w:bottom w:w="0" w:type="dxa"/>
            <w:right w:w="108" w:type="dxa"/>
          </w:tblCellMar>
        </w:tblPrEx>
        <w:trPr>
          <w:trHeight w:val="500" w:hRule="atLeast"/>
        </w:trPr>
        <w:tc>
          <w:tcPr>
            <w:tcW w:w="567" w:type="dxa"/>
            <w:tcBorders>
              <w:top w:val="nil"/>
              <w:left w:val="single" w:color="auto" w:sz="4" w:space="0"/>
              <w:bottom w:val="single" w:color="auto" w:sz="4" w:space="0"/>
              <w:right w:val="single" w:color="auto" w:sz="4" w:space="0"/>
            </w:tcBorders>
            <w:shd w:val="clear" w:color="auto" w:fill="auto"/>
            <w:noWrap/>
            <w:vAlign w:val="bottom"/>
          </w:tcPr>
          <w:p w14:paraId="0432A889">
            <w:pPr>
              <w:widowControl/>
              <w:wordWrap w:val="0"/>
              <w:jc w:val="lef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w:t>
            </w:r>
          </w:p>
        </w:tc>
        <w:tc>
          <w:tcPr>
            <w:tcW w:w="4537" w:type="dxa"/>
            <w:tcBorders>
              <w:top w:val="nil"/>
              <w:left w:val="nil"/>
              <w:bottom w:val="single" w:color="auto" w:sz="4" w:space="0"/>
              <w:right w:val="single" w:color="auto" w:sz="4" w:space="0"/>
            </w:tcBorders>
            <w:shd w:val="clear" w:color="auto" w:fill="auto"/>
            <w:noWrap/>
            <w:vAlign w:val="center"/>
          </w:tcPr>
          <w:p w14:paraId="2678329D">
            <w:pPr>
              <w:widowControl/>
              <w:wordWrap w:val="0"/>
              <w:jc w:val="left"/>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小计3</w:t>
            </w:r>
          </w:p>
        </w:tc>
        <w:tc>
          <w:tcPr>
            <w:tcW w:w="425" w:type="dxa"/>
            <w:tcBorders>
              <w:top w:val="nil"/>
              <w:left w:val="nil"/>
              <w:bottom w:val="single" w:color="auto" w:sz="4" w:space="0"/>
              <w:right w:val="single" w:color="auto" w:sz="4" w:space="0"/>
            </w:tcBorders>
            <w:shd w:val="clear" w:color="auto" w:fill="auto"/>
            <w:noWrap/>
            <w:vAlign w:val="center"/>
          </w:tcPr>
          <w:p w14:paraId="6C3A7644">
            <w:pPr>
              <w:widowControl/>
              <w:wordWrap w:val="0"/>
              <w:jc w:val="center"/>
              <w:rPr>
                <w:rFonts w:ascii="Times New Roman" w:hAnsi="Times New Roman" w:eastAsia="宋体" w:cs="Times New Roman"/>
                <w:b/>
                <w:bCs/>
                <w:color w:val="000000"/>
                <w:kern w:val="0"/>
                <w:sz w:val="20"/>
                <w:szCs w:val="20"/>
              </w:rPr>
            </w:pPr>
            <w:r>
              <w:rPr>
                <w:rFonts w:ascii="Times New Roman" w:hAnsi="Times New Roman" w:eastAsia="宋体" w:cs="Times New Roman"/>
                <w:b/>
                <w:bCs/>
                <w:color w:val="000000"/>
                <w:kern w:val="0"/>
                <w:sz w:val="20"/>
                <w:szCs w:val="20"/>
              </w:rPr>
              <w:t>　</w:t>
            </w:r>
          </w:p>
        </w:tc>
        <w:tc>
          <w:tcPr>
            <w:tcW w:w="425" w:type="dxa"/>
            <w:tcBorders>
              <w:top w:val="nil"/>
              <w:left w:val="nil"/>
              <w:bottom w:val="single" w:color="auto" w:sz="4" w:space="0"/>
              <w:right w:val="single" w:color="auto" w:sz="4" w:space="0"/>
            </w:tcBorders>
            <w:shd w:val="clear" w:color="auto" w:fill="auto"/>
            <w:noWrap/>
            <w:vAlign w:val="center"/>
          </w:tcPr>
          <w:p w14:paraId="19D8089D">
            <w:pPr>
              <w:widowControl/>
              <w:wordWrap w:val="0"/>
              <w:jc w:val="center"/>
              <w:rPr>
                <w:rFonts w:ascii="Times New Roman" w:hAnsi="Times New Roman" w:eastAsia="宋体" w:cs="Times New Roman"/>
                <w:b/>
                <w:bCs/>
                <w:color w:val="000000"/>
                <w:kern w:val="0"/>
                <w:sz w:val="20"/>
                <w:szCs w:val="20"/>
              </w:rPr>
            </w:pPr>
            <w:r>
              <w:rPr>
                <w:rFonts w:ascii="Times New Roman" w:hAnsi="Times New Roman" w:eastAsia="宋体" w:cs="Times New Roman"/>
                <w:b/>
                <w:bCs/>
                <w:color w:val="000000"/>
                <w:kern w:val="0"/>
                <w:sz w:val="20"/>
                <w:szCs w:val="20"/>
              </w:rPr>
              <w:t>　</w:t>
            </w:r>
          </w:p>
        </w:tc>
        <w:tc>
          <w:tcPr>
            <w:tcW w:w="851" w:type="dxa"/>
            <w:tcBorders>
              <w:top w:val="nil"/>
              <w:left w:val="nil"/>
              <w:bottom w:val="single" w:color="auto" w:sz="4" w:space="0"/>
              <w:right w:val="single" w:color="auto" w:sz="4" w:space="0"/>
            </w:tcBorders>
            <w:shd w:val="clear" w:color="auto" w:fill="auto"/>
            <w:noWrap/>
            <w:vAlign w:val="center"/>
          </w:tcPr>
          <w:p w14:paraId="0FCF36E5">
            <w:pPr>
              <w:widowControl/>
              <w:wordWrap w:val="0"/>
              <w:jc w:val="center"/>
              <w:rPr>
                <w:rFonts w:ascii="Times New Roman" w:hAnsi="Times New Roman" w:eastAsia="宋体" w:cs="Times New Roman"/>
                <w:b/>
                <w:bCs/>
                <w:color w:val="000000"/>
                <w:kern w:val="0"/>
                <w:sz w:val="20"/>
                <w:szCs w:val="20"/>
              </w:rPr>
            </w:pPr>
            <w:r>
              <w:rPr>
                <w:rFonts w:ascii="Times New Roman" w:hAnsi="Times New Roman" w:eastAsia="宋体" w:cs="Times New Roman"/>
                <w:b/>
                <w:bCs/>
                <w:color w:val="000000"/>
                <w:kern w:val="0"/>
                <w:sz w:val="20"/>
                <w:szCs w:val="20"/>
              </w:rPr>
              <w:t>　</w:t>
            </w:r>
          </w:p>
        </w:tc>
        <w:tc>
          <w:tcPr>
            <w:tcW w:w="850" w:type="dxa"/>
            <w:tcBorders>
              <w:top w:val="nil"/>
              <w:left w:val="nil"/>
              <w:bottom w:val="single" w:color="auto" w:sz="4" w:space="0"/>
              <w:right w:val="single" w:color="auto" w:sz="4" w:space="0"/>
            </w:tcBorders>
            <w:shd w:val="clear" w:color="auto" w:fill="auto"/>
            <w:noWrap/>
            <w:vAlign w:val="center"/>
          </w:tcPr>
          <w:p w14:paraId="1B79AA16">
            <w:pPr>
              <w:widowControl/>
              <w:wordWrap w:val="0"/>
              <w:jc w:val="center"/>
              <w:rPr>
                <w:rFonts w:ascii="Times New Roman" w:hAnsi="Times New Roman" w:eastAsia="宋体" w:cs="Times New Roman"/>
                <w:b/>
                <w:bCs/>
                <w:color w:val="000000"/>
                <w:kern w:val="0"/>
                <w:sz w:val="20"/>
                <w:szCs w:val="20"/>
              </w:rPr>
            </w:pPr>
            <w:r>
              <w:rPr>
                <w:rFonts w:ascii="Times New Roman" w:hAnsi="Times New Roman" w:eastAsia="宋体" w:cs="Times New Roman"/>
                <w:b/>
                <w:bCs/>
                <w:color w:val="000000"/>
                <w:kern w:val="0"/>
                <w:sz w:val="20"/>
                <w:szCs w:val="20"/>
              </w:rPr>
              <w:t>　</w:t>
            </w:r>
          </w:p>
        </w:tc>
        <w:tc>
          <w:tcPr>
            <w:tcW w:w="1276" w:type="dxa"/>
            <w:tcBorders>
              <w:top w:val="nil"/>
              <w:left w:val="nil"/>
              <w:bottom w:val="single" w:color="auto" w:sz="4" w:space="0"/>
              <w:right w:val="single" w:color="auto" w:sz="4" w:space="0"/>
            </w:tcBorders>
            <w:shd w:val="clear" w:color="auto" w:fill="auto"/>
            <w:noWrap/>
            <w:vAlign w:val="center"/>
          </w:tcPr>
          <w:p w14:paraId="257EDEFE">
            <w:pPr>
              <w:widowControl/>
              <w:wordWrap w:val="0"/>
              <w:jc w:val="right"/>
              <w:rPr>
                <w:rFonts w:ascii="Times New Roman" w:hAnsi="Times New Roman" w:eastAsia="宋体" w:cs="Times New Roman"/>
                <w:b/>
                <w:bCs/>
                <w:color w:val="000000"/>
                <w:kern w:val="0"/>
                <w:sz w:val="20"/>
                <w:szCs w:val="20"/>
              </w:rPr>
            </w:pPr>
            <w:r>
              <w:rPr>
                <w:rFonts w:ascii="Times New Roman" w:hAnsi="Times New Roman" w:eastAsia="宋体" w:cs="Times New Roman"/>
                <w:b/>
                <w:bCs/>
                <w:color w:val="000000"/>
                <w:kern w:val="0"/>
                <w:sz w:val="20"/>
                <w:szCs w:val="20"/>
              </w:rPr>
              <w:t>374738.00</w:t>
            </w:r>
          </w:p>
        </w:tc>
        <w:tc>
          <w:tcPr>
            <w:tcW w:w="1134" w:type="dxa"/>
            <w:tcBorders>
              <w:top w:val="nil"/>
              <w:left w:val="nil"/>
              <w:bottom w:val="single" w:color="auto" w:sz="4" w:space="0"/>
              <w:right w:val="single" w:color="auto" w:sz="4" w:space="0"/>
            </w:tcBorders>
            <w:shd w:val="clear" w:color="auto" w:fill="auto"/>
            <w:noWrap/>
            <w:vAlign w:val="center"/>
          </w:tcPr>
          <w:p w14:paraId="0F3D7751">
            <w:pPr>
              <w:widowControl/>
              <w:wordWrap w:val="0"/>
              <w:jc w:val="right"/>
              <w:rPr>
                <w:rFonts w:ascii="Times New Roman" w:hAnsi="Times New Roman" w:eastAsia="宋体" w:cs="Times New Roman"/>
                <w:b/>
                <w:bCs/>
                <w:color w:val="000000"/>
                <w:kern w:val="0"/>
                <w:sz w:val="20"/>
                <w:szCs w:val="20"/>
              </w:rPr>
            </w:pPr>
            <w:r>
              <w:rPr>
                <w:rFonts w:ascii="Times New Roman" w:hAnsi="Times New Roman" w:eastAsia="宋体" w:cs="Times New Roman"/>
                <w:b/>
                <w:bCs/>
                <w:color w:val="000000"/>
                <w:kern w:val="0"/>
                <w:sz w:val="20"/>
                <w:szCs w:val="20"/>
              </w:rPr>
              <w:t>250000</w:t>
            </w:r>
          </w:p>
        </w:tc>
      </w:tr>
      <w:tr w14:paraId="2982D8B3">
        <w:tblPrEx>
          <w:tblCellMar>
            <w:top w:w="0" w:type="dxa"/>
            <w:left w:w="108" w:type="dxa"/>
            <w:bottom w:w="0" w:type="dxa"/>
            <w:right w:w="108" w:type="dxa"/>
          </w:tblCellMar>
        </w:tblPrEx>
        <w:trPr>
          <w:trHeight w:val="500" w:hRule="atLeast"/>
        </w:trPr>
        <w:tc>
          <w:tcPr>
            <w:tcW w:w="567" w:type="dxa"/>
            <w:vMerge w:val="restart"/>
            <w:tcBorders>
              <w:top w:val="nil"/>
              <w:left w:val="single" w:color="auto" w:sz="4" w:space="0"/>
              <w:bottom w:val="single" w:color="000000" w:sz="4" w:space="0"/>
              <w:right w:val="single" w:color="auto" w:sz="4" w:space="0"/>
            </w:tcBorders>
            <w:shd w:val="clear" w:color="auto" w:fill="auto"/>
            <w:vAlign w:val="center"/>
          </w:tcPr>
          <w:p w14:paraId="422832D6">
            <w:pPr>
              <w:widowControl/>
              <w:wordWrap w:val="0"/>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四</w:t>
            </w:r>
          </w:p>
        </w:tc>
        <w:tc>
          <w:tcPr>
            <w:tcW w:w="4537" w:type="dxa"/>
            <w:tcBorders>
              <w:top w:val="nil"/>
              <w:left w:val="nil"/>
              <w:bottom w:val="single" w:color="auto" w:sz="4" w:space="0"/>
              <w:right w:val="single" w:color="auto" w:sz="4" w:space="0"/>
            </w:tcBorders>
            <w:shd w:val="clear" w:color="auto" w:fill="auto"/>
            <w:vAlign w:val="center"/>
          </w:tcPr>
          <w:p w14:paraId="1B33010E">
            <w:pPr>
              <w:widowControl/>
              <w:wordWrap w:val="0"/>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农村人畜饮水净化配套工程软件系统</w:t>
            </w:r>
          </w:p>
        </w:tc>
        <w:tc>
          <w:tcPr>
            <w:tcW w:w="425" w:type="dxa"/>
            <w:tcBorders>
              <w:top w:val="nil"/>
              <w:left w:val="nil"/>
              <w:bottom w:val="single" w:color="auto" w:sz="4" w:space="0"/>
              <w:right w:val="single" w:color="auto" w:sz="4" w:space="0"/>
            </w:tcBorders>
            <w:shd w:val="clear" w:color="auto" w:fill="auto"/>
            <w:vAlign w:val="center"/>
          </w:tcPr>
          <w:p w14:paraId="0EBC2A3D">
            <w:pPr>
              <w:widowControl/>
              <w:wordWrap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　</w:t>
            </w:r>
          </w:p>
        </w:tc>
        <w:tc>
          <w:tcPr>
            <w:tcW w:w="425" w:type="dxa"/>
            <w:tcBorders>
              <w:top w:val="nil"/>
              <w:left w:val="nil"/>
              <w:bottom w:val="single" w:color="auto" w:sz="4" w:space="0"/>
              <w:right w:val="single" w:color="auto" w:sz="4" w:space="0"/>
            </w:tcBorders>
            <w:shd w:val="clear" w:color="auto" w:fill="auto"/>
            <w:vAlign w:val="center"/>
          </w:tcPr>
          <w:p w14:paraId="63AD29D2">
            <w:pPr>
              <w:widowControl/>
              <w:wordWrap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　</w:t>
            </w:r>
          </w:p>
        </w:tc>
        <w:tc>
          <w:tcPr>
            <w:tcW w:w="851" w:type="dxa"/>
            <w:tcBorders>
              <w:top w:val="nil"/>
              <w:left w:val="nil"/>
              <w:bottom w:val="single" w:color="auto" w:sz="4" w:space="0"/>
              <w:right w:val="single" w:color="auto" w:sz="4" w:space="0"/>
            </w:tcBorders>
            <w:shd w:val="clear" w:color="auto" w:fill="auto"/>
            <w:noWrap/>
            <w:vAlign w:val="center"/>
          </w:tcPr>
          <w:p w14:paraId="052A37F5">
            <w:pPr>
              <w:widowControl/>
              <w:wordWrap w:val="0"/>
              <w:jc w:val="center"/>
              <w:rPr>
                <w:rFonts w:ascii="Times New Roman" w:hAnsi="Times New Roman" w:eastAsia="宋体" w:cs="Times New Roman"/>
                <w:b/>
                <w:bCs/>
                <w:color w:val="FF0000"/>
                <w:kern w:val="0"/>
                <w:sz w:val="20"/>
                <w:szCs w:val="20"/>
              </w:rPr>
            </w:pPr>
            <w:r>
              <w:rPr>
                <w:rFonts w:ascii="Times New Roman" w:hAnsi="Times New Roman" w:eastAsia="宋体" w:cs="Times New Roman"/>
                <w:b/>
                <w:bCs/>
                <w:color w:val="FF0000"/>
                <w:kern w:val="0"/>
                <w:sz w:val="20"/>
                <w:szCs w:val="20"/>
              </w:rPr>
              <w:t>　</w:t>
            </w:r>
          </w:p>
        </w:tc>
        <w:tc>
          <w:tcPr>
            <w:tcW w:w="850" w:type="dxa"/>
            <w:tcBorders>
              <w:top w:val="nil"/>
              <w:left w:val="nil"/>
              <w:bottom w:val="single" w:color="auto" w:sz="4" w:space="0"/>
              <w:right w:val="single" w:color="auto" w:sz="4" w:space="0"/>
            </w:tcBorders>
            <w:shd w:val="clear" w:color="auto" w:fill="auto"/>
            <w:vAlign w:val="center"/>
          </w:tcPr>
          <w:p w14:paraId="3FB15D3D">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w:t>
            </w:r>
          </w:p>
        </w:tc>
        <w:tc>
          <w:tcPr>
            <w:tcW w:w="1276" w:type="dxa"/>
            <w:tcBorders>
              <w:top w:val="nil"/>
              <w:left w:val="nil"/>
              <w:bottom w:val="single" w:color="auto" w:sz="4" w:space="0"/>
              <w:right w:val="single" w:color="auto" w:sz="4" w:space="0"/>
            </w:tcBorders>
            <w:shd w:val="clear" w:color="auto" w:fill="auto"/>
            <w:noWrap/>
            <w:vAlign w:val="center"/>
          </w:tcPr>
          <w:p w14:paraId="1252BF96">
            <w:pPr>
              <w:widowControl/>
              <w:wordWrap w:val="0"/>
              <w:jc w:val="center"/>
              <w:rPr>
                <w:rFonts w:ascii="Times New Roman" w:hAnsi="Times New Roman" w:eastAsia="宋体" w:cs="Times New Roman"/>
                <w:b/>
                <w:bCs/>
                <w:color w:val="000000"/>
                <w:kern w:val="0"/>
                <w:sz w:val="20"/>
                <w:szCs w:val="20"/>
              </w:rPr>
            </w:pPr>
            <w:r>
              <w:rPr>
                <w:rFonts w:ascii="Times New Roman" w:hAnsi="Times New Roman" w:eastAsia="宋体" w:cs="Times New Roman"/>
                <w:b/>
                <w:bCs/>
                <w:color w:val="000000"/>
                <w:kern w:val="0"/>
                <w:sz w:val="20"/>
                <w:szCs w:val="20"/>
              </w:rPr>
              <w:t>　</w:t>
            </w:r>
          </w:p>
        </w:tc>
        <w:tc>
          <w:tcPr>
            <w:tcW w:w="1134" w:type="dxa"/>
            <w:tcBorders>
              <w:top w:val="nil"/>
              <w:left w:val="nil"/>
              <w:bottom w:val="single" w:color="auto" w:sz="4" w:space="0"/>
              <w:right w:val="single" w:color="auto" w:sz="4" w:space="0"/>
            </w:tcBorders>
            <w:shd w:val="clear" w:color="auto" w:fill="auto"/>
            <w:vAlign w:val="center"/>
          </w:tcPr>
          <w:p w14:paraId="0B8C897B">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w:t>
            </w:r>
          </w:p>
        </w:tc>
      </w:tr>
      <w:tr w14:paraId="7A2CAD36">
        <w:tblPrEx>
          <w:tblCellMar>
            <w:top w:w="0" w:type="dxa"/>
            <w:left w:w="108" w:type="dxa"/>
            <w:bottom w:w="0" w:type="dxa"/>
            <w:right w:w="108" w:type="dxa"/>
          </w:tblCellMar>
        </w:tblPrEx>
        <w:trPr>
          <w:trHeight w:val="1408" w:hRule="atLeast"/>
        </w:trPr>
        <w:tc>
          <w:tcPr>
            <w:tcW w:w="567" w:type="dxa"/>
            <w:vMerge w:val="continue"/>
            <w:tcBorders>
              <w:top w:val="nil"/>
              <w:left w:val="single" w:color="auto" w:sz="4" w:space="0"/>
              <w:bottom w:val="single" w:color="000000" w:sz="4" w:space="0"/>
              <w:right w:val="single" w:color="auto" w:sz="4" w:space="0"/>
            </w:tcBorders>
            <w:vAlign w:val="center"/>
          </w:tcPr>
          <w:p w14:paraId="1BC01A87">
            <w:pPr>
              <w:widowControl/>
              <w:wordWrap w:val="0"/>
              <w:jc w:val="left"/>
              <w:rPr>
                <w:rFonts w:hint="eastAsia" w:ascii="宋体" w:hAnsi="宋体" w:eastAsia="宋体" w:cs="宋体"/>
                <w:b/>
                <w:bCs/>
                <w:color w:val="000000"/>
                <w:kern w:val="0"/>
                <w:sz w:val="20"/>
                <w:szCs w:val="20"/>
              </w:rPr>
            </w:pPr>
          </w:p>
        </w:tc>
        <w:tc>
          <w:tcPr>
            <w:tcW w:w="4537" w:type="dxa"/>
            <w:tcBorders>
              <w:top w:val="nil"/>
              <w:left w:val="nil"/>
              <w:bottom w:val="single" w:color="auto" w:sz="4" w:space="0"/>
              <w:right w:val="single" w:color="auto" w:sz="4" w:space="0"/>
            </w:tcBorders>
            <w:shd w:val="clear" w:color="auto" w:fill="auto"/>
            <w:vAlign w:val="center"/>
          </w:tcPr>
          <w:p w14:paraId="0E9BFC1C">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t>1、 需求分析 ：需求收集、需求分析</w:t>
            </w:r>
          </w:p>
          <w:p w14:paraId="1B74D4D2">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2、 系统设计 ：功能分解、框架设计、数据库设计</w:t>
            </w:r>
          </w:p>
          <w:p w14:paraId="03A845F3">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3、 UI设计：原型设计、界面设计、交互设计</w:t>
            </w:r>
          </w:p>
          <w:p w14:paraId="59B506ED">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4、 基础管理</w:t>
            </w:r>
            <w:r>
              <w:rPr>
                <w:rFonts w:hint="eastAsia" w:ascii="宋体" w:hAnsi="宋体" w:eastAsia="宋体" w:cs="宋体"/>
                <w:color w:val="000000"/>
                <w:kern w:val="0"/>
                <w:sz w:val="20"/>
                <w:szCs w:val="20"/>
              </w:rPr>
              <w:br w:type="page"/>
            </w:r>
          </w:p>
          <w:p w14:paraId="37798F5C">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t>(1) 菜单管理：提供对菜单列表形式的管理，可对菜单进行新增、编辑、删除等操作。菜单的基本信息应包括：菜单名称，菜单路径，父菜单名称信息。</w:t>
            </w:r>
            <w:r>
              <w:rPr>
                <w:rFonts w:hint="eastAsia" w:ascii="宋体" w:hAnsi="宋体" w:eastAsia="宋体" w:cs="宋体"/>
                <w:color w:val="000000"/>
                <w:kern w:val="0"/>
                <w:sz w:val="20"/>
                <w:szCs w:val="20"/>
              </w:rPr>
              <w:br w:type="page"/>
            </w:r>
          </w:p>
          <w:p w14:paraId="673C4B86">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t>(2) 角色管理：提供对角色列表形式的管理，选择角色信息，勾选右侧菜单，即可给该角色分配菜单权限。角色的基本信息包括：角色名称，角色描述，组织ID（菜单列表）。</w:t>
            </w:r>
          </w:p>
          <w:p w14:paraId="65A1999E">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(3) 用户管理：实现用户管理信息的可视化查询。提供对用户列表形式的管理，可通过用户名称等关键字搜索用户信息。用户的基本信息应包括：姓名，账号，密码，（启用）禁止，角色。</w:t>
            </w:r>
          </w:p>
          <w:p w14:paraId="26408A8E">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(4) 菜单权限管理 ：实现根据不同角色分配不同的菜单。对不同的角色进行菜单权限的动态分配</w:t>
            </w:r>
            <w:r>
              <w:rPr>
                <w:rFonts w:hint="eastAsia" w:ascii="宋体" w:hAnsi="宋体" w:eastAsia="宋体" w:cs="宋体"/>
                <w:color w:val="000000"/>
                <w:kern w:val="0"/>
                <w:sz w:val="20"/>
                <w:szCs w:val="20"/>
              </w:rPr>
              <w:br w:type="page"/>
            </w:r>
          </w:p>
          <w:p w14:paraId="29F7D54B">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t>(5) 设备管理：对涉及到数据上报和采集的设备进行统一管理维护。支持设备的新增、修改、删除 等操作。不同类型的设备具有不同的操作。对不同设备的协议进行对接，解析。实现设备信息的可视化查询。提供对设备列表形式的管理，可通过设备编号等关键字搜索设备信息，点击设备列表右侧的详情按钮可查看到详细信息。设备的基本信息应包括：设备名称，设备编号，设备地址，设备类型等信息。</w:t>
            </w:r>
          </w:p>
          <w:p w14:paraId="57F2F0A3">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(6) 日志管理：实现操作日志的可视化查询。提供对操作日志列表形式的管理，可通过日志时间、操作类型等关键字搜索操作日志内容，点击操作日志列表右侧的详情按钮可查看到详细信息。</w:t>
            </w:r>
          </w:p>
          <w:p w14:paraId="78E9E791">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5、 水质在线监测及视频联动报警系统</w:t>
            </w:r>
            <w:r>
              <w:rPr>
                <w:rFonts w:hint="eastAsia" w:ascii="宋体" w:hAnsi="宋体" w:eastAsia="宋体" w:cs="宋体"/>
                <w:color w:val="000000"/>
                <w:kern w:val="0"/>
                <w:sz w:val="20"/>
                <w:szCs w:val="20"/>
              </w:rPr>
              <w:br w:type="page"/>
            </w:r>
          </w:p>
          <w:p w14:paraId="13AE1C1D">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t>(1) 设备协议对接：水质监测设备协议对接，平台接入，原始报文保持和查询显示。</w:t>
            </w:r>
          </w:p>
          <w:p w14:paraId="5AF9362A">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(2) 水质一张图：一张图管理子系统系统功能应满足以下指标：实现西宁市湟中区水质监测实时数据、报警数据、统计图表的一张图的全方位、动态化、可视化展示。实现对标准地图服务的集成支持，实现基于地图的基本查询功能，包括点击查询、分类查询、设施定位，并且能够对查询结果进行放缩、居中显示操作。支持通过鼠标对地图进行放缩、漫游，并提供卫星视图来进行地图视图控制。实现多源数据的集成显示，根据比例尺进行数据的无缝切换显示。实现显示要素的快速切换，并提供多种要素选择模式，方便用户单独进行要素的选择。实现报警数据的实时查看。实现监测设备报警时，视频联动现场画面查看。实现对报警数据的趋势统计分析。</w:t>
            </w:r>
            <w:r>
              <w:rPr>
                <w:rFonts w:hint="eastAsia" w:ascii="宋体" w:hAnsi="宋体" w:eastAsia="宋体" w:cs="宋体"/>
                <w:color w:val="000000"/>
                <w:kern w:val="0"/>
                <w:sz w:val="20"/>
                <w:szCs w:val="20"/>
              </w:rPr>
              <w:br w:type="page"/>
            </w:r>
          </w:p>
          <w:p w14:paraId="7FFAA5FF">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t>(3) 报表分析：通过对大量基础数据按照系统设定的规则进行智能化分析，获得用户需要的不同类型的报表视图，列表视图以及图形视图。提供数据快速导出保存，各类数据的展示等功能。</w:t>
            </w:r>
          </w:p>
          <w:p w14:paraId="39205829">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(4) 实时报警：当监测到水质报警时，平台实时弹出，并以声光报警显示提醒用户，报警数据根据时间和设备进行筛选查询等，可以支持短信、语音等通知相关负责人。</w:t>
            </w:r>
            <w:r>
              <w:rPr>
                <w:rFonts w:hint="eastAsia" w:ascii="宋体" w:hAnsi="宋体" w:eastAsia="宋体" w:cs="宋体"/>
                <w:color w:val="000000"/>
                <w:kern w:val="0"/>
                <w:sz w:val="20"/>
                <w:szCs w:val="20"/>
              </w:rPr>
              <w:br w:type="page"/>
            </w:r>
          </w:p>
          <w:p w14:paraId="2656F983">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t>(5) 视频联动：当监测报警时，自动联动报警点位旁边的监控，进行报警抓拍，同时上传至平台，可以查询报警时现场画面。同时支撑摄像头点位，与水质监测点位绑定功能。</w:t>
            </w:r>
          </w:p>
          <w:p w14:paraId="5EFCE11F">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6、 视频监控及算法自动报警系统</w:t>
            </w:r>
          </w:p>
          <w:p w14:paraId="340E4825">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(1) 视频监控：支持WEB浏览器，通过视频控件的形式进行监控点实时画面预览；支持在浏览器中嵌入视频插件，优化WEB端视频预览体验；支持视频监控点资源树上展示监控点在线/离线状态；支持各区域监控点在线数展示；方便用户直观的了解各区域监控点的在线情况；支持GIS上查看各监控点；支持视频播放窗口布局切换，包含1、4、9、16常规画面分割；支持云端传输及预览回放；支持去控件化实现视频预览功能。</w:t>
            </w:r>
          </w:p>
          <w:p w14:paraId="4E289492">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(2) 云台控制：用户可以远程控制前端球机摄像头的云台，实现监控画面的上下左右移动和变焦等操作。</w:t>
            </w:r>
          </w:p>
          <w:p w14:paraId="5C3ADE69">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(3) 视频识别算法：水源地关键点位视频智能监控，支持漂浮物、船只、河岸垃圾、违建等智能算法检测识别。</w:t>
            </w:r>
          </w:p>
          <w:p w14:paraId="3766267A">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(4) 报警通知：水源地关键点位视频智能监控，发现人员违规行为实时报警，现场图片传送至系统平台，系统自动弹出报警对话框，支持声光报警，支持短信息和电话语音通知管理人员。</w:t>
            </w:r>
            <w:r>
              <w:rPr>
                <w:rFonts w:hint="eastAsia" w:ascii="宋体" w:hAnsi="宋体" w:eastAsia="宋体" w:cs="宋体"/>
                <w:color w:val="000000"/>
                <w:kern w:val="0"/>
                <w:sz w:val="20"/>
                <w:szCs w:val="20"/>
              </w:rPr>
              <w:br w:type="page"/>
            </w:r>
          </w:p>
          <w:p w14:paraId="1A3FA9C9">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t>(5) 报警消息管理：通过列表的形式显示，报警数据，支持安装报警类型和报警时间进行筛选过滤。</w:t>
            </w:r>
          </w:p>
          <w:p w14:paraId="09FC3965">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(6) GIS地图：在GIS地图上，实时显示各安装监控点位，通过GIS上点击监控可以实时查看现场监控画面。报警的监控红色显示。</w:t>
            </w:r>
          </w:p>
          <w:p w14:paraId="2B4DF412">
            <w:pPr>
              <w:widowControl/>
              <w:wordWrap w:val="0"/>
              <w:jc w:val="left"/>
              <w:rPr>
                <w:rFonts w:ascii="宋体" w:hAnsi="宋体" w:eastAsia="宋体" w:cs="宋体"/>
                <w:color w:val="000000"/>
                <w:kern w:val="0"/>
                <w:sz w:val="20"/>
                <w:szCs w:val="20"/>
              </w:rPr>
            </w:pPr>
            <w:r>
              <w:rPr>
                <w:rFonts w:hint="eastAsia" w:ascii="宋体" w:hAnsi="宋体" w:eastAsia="宋体" w:cs="宋体"/>
                <w:color w:val="000000"/>
                <w:kern w:val="0"/>
                <w:sz w:val="20"/>
                <w:szCs w:val="20"/>
              </w:rPr>
              <w:br w:type="page"/>
            </w:r>
            <w:r>
              <w:rPr>
                <w:rFonts w:hint="eastAsia" w:ascii="宋体" w:hAnsi="宋体" w:eastAsia="宋体" w:cs="宋体"/>
                <w:color w:val="000000"/>
                <w:kern w:val="0"/>
                <w:sz w:val="20"/>
                <w:szCs w:val="20"/>
              </w:rPr>
              <w:t>7、 软件测试：软件平台测试，单元测试，系统测试等。</w:t>
            </w:r>
            <w:r>
              <w:rPr>
                <w:rFonts w:hint="eastAsia" w:ascii="宋体" w:hAnsi="宋体" w:eastAsia="宋体" w:cs="宋体"/>
                <w:color w:val="000000"/>
                <w:kern w:val="0"/>
                <w:sz w:val="20"/>
                <w:szCs w:val="20"/>
              </w:rPr>
              <w:br w:type="page"/>
            </w:r>
          </w:p>
          <w:p w14:paraId="33C67C2B">
            <w:pPr>
              <w:widowControl/>
              <w:wordWrap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8、 部署调试与服务：软件部署，功能调试，系统联调，软件培训与验收服务等。</w:t>
            </w:r>
          </w:p>
        </w:tc>
        <w:tc>
          <w:tcPr>
            <w:tcW w:w="425" w:type="dxa"/>
            <w:tcBorders>
              <w:top w:val="nil"/>
              <w:left w:val="nil"/>
              <w:bottom w:val="single" w:color="auto" w:sz="4" w:space="0"/>
              <w:right w:val="single" w:color="auto" w:sz="4" w:space="0"/>
            </w:tcBorders>
            <w:shd w:val="clear" w:color="auto" w:fill="auto"/>
            <w:vAlign w:val="center"/>
          </w:tcPr>
          <w:p w14:paraId="60965044">
            <w:pPr>
              <w:widowControl/>
              <w:wordWrap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套</w:t>
            </w:r>
          </w:p>
        </w:tc>
        <w:tc>
          <w:tcPr>
            <w:tcW w:w="425" w:type="dxa"/>
            <w:tcBorders>
              <w:top w:val="nil"/>
              <w:left w:val="nil"/>
              <w:bottom w:val="single" w:color="auto" w:sz="4" w:space="0"/>
              <w:right w:val="single" w:color="auto" w:sz="4" w:space="0"/>
            </w:tcBorders>
            <w:shd w:val="clear" w:color="auto" w:fill="auto"/>
            <w:noWrap/>
            <w:vAlign w:val="center"/>
          </w:tcPr>
          <w:p w14:paraId="019227F5">
            <w:pPr>
              <w:widowControl/>
              <w:wordWrap w:val="0"/>
              <w:jc w:val="center"/>
              <w:rPr>
                <w:rFonts w:hint="eastAsia" w:ascii="宋体" w:hAnsi="宋体" w:eastAsia="宋体" w:cs="宋体"/>
                <w:kern w:val="0"/>
                <w:sz w:val="20"/>
                <w:szCs w:val="20"/>
              </w:rPr>
            </w:pPr>
            <w:r>
              <w:rPr>
                <w:rFonts w:hint="eastAsia" w:ascii="宋体" w:hAnsi="宋体" w:eastAsia="宋体" w:cs="宋体"/>
                <w:kern w:val="0"/>
                <w:sz w:val="20"/>
                <w:szCs w:val="20"/>
              </w:rPr>
              <w:t>1</w:t>
            </w:r>
          </w:p>
        </w:tc>
        <w:tc>
          <w:tcPr>
            <w:tcW w:w="851" w:type="dxa"/>
            <w:tcBorders>
              <w:top w:val="nil"/>
              <w:left w:val="nil"/>
              <w:bottom w:val="single" w:color="auto" w:sz="4" w:space="0"/>
              <w:right w:val="single" w:color="auto" w:sz="4" w:space="0"/>
            </w:tcBorders>
            <w:shd w:val="clear" w:color="auto" w:fill="auto"/>
            <w:noWrap/>
            <w:vAlign w:val="center"/>
          </w:tcPr>
          <w:p w14:paraId="5F13A104">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350000.00 </w:t>
            </w:r>
          </w:p>
        </w:tc>
        <w:tc>
          <w:tcPr>
            <w:tcW w:w="850" w:type="dxa"/>
            <w:tcBorders>
              <w:top w:val="nil"/>
              <w:left w:val="nil"/>
              <w:bottom w:val="single" w:color="auto" w:sz="4" w:space="0"/>
              <w:right w:val="single" w:color="auto" w:sz="4" w:space="0"/>
            </w:tcBorders>
            <w:shd w:val="clear" w:color="auto" w:fill="auto"/>
            <w:noWrap/>
            <w:vAlign w:val="center"/>
          </w:tcPr>
          <w:p w14:paraId="0F150D72">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0.00 </w:t>
            </w:r>
          </w:p>
        </w:tc>
        <w:tc>
          <w:tcPr>
            <w:tcW w:w="1276" w:type="dxa"/>
            <w:tcBorders>
              <w:top w:val="nil"/>
              <w:left w:val="nil"/>
              <w:bottom w:val="single" w:color="auto" w:sz="4" w:space="0"/>
              <w:right w:val="single" w:color="auto" w:sz="4" w:space="0"/>
            </w:tcBorders>
            <w:shd w:val="clear" w:color="auto" w:fill="auto"/>
            <w:noWrap/>
            <w:vAlign w:val="center"/>
          </w:tcPr>
          <w:p w14:paraId="35B17813">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350000.00 </w:t>
            </w:r>
          </w:p>
        </w:tc>
        <w:tc>
          <w:tcPr>
            <w:tcW w:w="1134" w:type="dxa"/>
            <w:tcBorders>
              <w:top w:val="nil"/>
              <w:left w:val="nil"/>
              <w:bottom w:val="single" w:color="auto" w:sz="4" w:space="0"/>
              <w:right w:val="single" w:color="auto" w:sz="4" w:space="0"/>
            </w:tcBorders>
            <w:shd w:val="clear" w:color="auto" w:fill="auto"/>
            <w:noWrap/>
            <w:vAlign w:val="center"/>
          </w:tcPr>
          <w:p w14:paraId="74584A70">
            <w:pPr>
              <w:widowControl/>
              <w:wordWrap w:val="0"/>
              <w:jc w:val="righ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xml:space="preserve">0.00 </w:t>
            </w:r>
          </w:p>
        </w:tc>
      </w:tr>
      <w:tr w14:paraId="7C3938A0">
        <w:tblPrEx>
          <w:tblCellMar>
            <w:top w:w="0" w:type="dxa"/>
            <w:left w:w="108" w:type="dxa"/>
            <w:bottom w:w="0" w:type="dxa"/>
            <w:right w:w="108" w:type="dxa"/>
          </w:tblCellMar>
        </w:tblPrEx>
        <w:trPr>
          <w:trHeight w:val="500" w:hRule="atLeast"/>
        </w:trPr>
        <w:tc>
          <w:tcPr>
            <w:tcW w:w="567" w:type="dxa"/>
            <w:tcBorders>
              <w:top w:val="nil"/>
              <w:left w:val="single" w:color="auto" w:sz="4" w:space="0"/>
              <w:bottom w:val="single" w:color="auto" w:sz="4" w:space="0"/>
              <w:right w:val="single" w:color="auto" w:sz="4" w:space="0"/>
            </w:tcBorders>
            <w:shd w:val="clear" w:color="auto" w:fill="auto"/>
            <w:noWrap/>
            <w:vAlign w:val="bottom"/>
          </w:tcPr>
          <w:p w14:paraId="1EFDDAA5">
            <w:pPr>
              <w:widowControl/>
              <w:wordWrap w:val="0"/>
              <w:jc w:val="lef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w:t>
            </w:r>
          </w:p>
        </w:tc>
        <w:tc>
          <w:tcPr>
            <w:tcW w:w="4537" w:type="dxa"/>
            <w:tcBorders>
              <w:top w:val="nil"/>
              <w:left w:val="nil"/>
              <w:bottom w:val="single" w:color="auto" w:sz="4" w:space="0"/>
              <w:right w:val="single" w:color="auto" w:sz="4" w:space="0"/>
            </w:tcBorders>
            <w:shd w:val="clear" w:color="auto" w:fill="auto"/>
            <w:noWrap/>
            <w:vAlign w:val="center"/>
          </w:tcPr>
          <w:p w14:paraId="0BB9A052">
            <w:pPr>
              <w:widowControl/>
              <w:wordWrap w:val="0"/>
              <w:jc w:val="left"/>
              <w:rPr>
                <w:rFonts w:ascii="Times New Roman" w:hAnsi="Times New Roman" w:eastAsia="宋体" w:cs="Times New Roman"/>
                <w:b/>
                <w:bCs/>
                <w:color w:val="000000"/>
                <w:kern w:val="0"/>
                <w:sz w:val="20"/>
                <w:szCs w:val="20"/>
              </w:rPr>
            </w:pPr>
            <w:r>
              <w:rPr>
                <w:rFonts w:hint="eastAsia" w:ascii="宋体" w:hAnsi="宋体" w:eastAsia="宋体" w:cs="Times New Roman"/>
                <w:b/>
                <w:bCs/>
                <w:color w:val="000000"/>
                <w:kern w:val="0"/>
                <w:sz w:val="20"/>
                <w:szCs w:val="20"/>
              </w:rPr>
              <w:t>小计</w:t>
            </w:r>
            <w:r>
              <w:rPr>
                <w:rFonts w:ascii="Times New Roman" w:hAnsi="Times New Roman" w:eastAsia="宋体" w:cs="Times New Roman"/>
                <w:b/>
                <w:bCs/>
                <w:color w:val="000000"/>
                <w:kern w:val="0"/>
                <w:sz w:val="20"/>
                <w:szCs w:val="20"/>
              </w:rPr>
              <w:t>4</w:t>
            </w:r>
          </w:p>
        </w:tc>
        <w:tc>
          <w:tcPr>
            <w:tcW w:w="425" w:type="dxa"/>
            <w:tcBorders>
              <w:top w:val="nil"/>
              <w:left w:val="nil"/>
              <w:bottom w:val="single" w:color="auto" w:sz="4" w:space="0"/>
              <w:right w:val="single" w:color="auto" w:sz="4" w:space="0"/>
            </w:tcBorders>
            <w:shd w:val="clear" w:color="auto" w:fill="auto"/>
            <w:noWrap/>
            <w:vAlign w:val="center"/>
          </w:tcPr>
          <w:p w14:paraId="6B481BFD">
            <w:pPr>
              <w:widowControl/>
              <w:wordWrap w:val="0"/>
              <w:jc w:val="center"/>
              <w:rPr>
                <w:rFonts w:ascii="Times New Roman" w:hAnsi="Times New Roman" w:eastAsia="宋体" w:cs="Times New Roman"/>
                <w:b/>
                <w:bCs/>
                <w:color w:val="000000"/>
                <w:kern w:val="0"/>
                <w:sz w:val="20"/>
                <w:szCs w:val="20"/>
              </w:rPr>
            </w:pPr>
            <w:r>
              <w:rPr>
                <w:rFonts w:ascii="Times New Roman" w:hAnsi="Times New Roman" w:eastAsia="宋体" w:cs="Times New Roman"/>
                <w:b/>
                <w:bCs/>
                <w:color w:val="000000"/>
                <w:kern w:val="0"/>
                <w:sz w:val="20"/>
                <w:szCs w:val="20"/>
              </w:rPr>
              <w:t>　</w:t>
            </w:r>
          </w:p>
        </w:tc>
        <w:tc>
          <w:tcPr>
            <w:tcW w:w="425" w:type="dxa"/>
            <w:tcBorders>
              <w:top w:val="nil"/>
              <w:left w:val="nil"/>
              <w:bottom w:val="single" w:color="auto" w:sz="4" w:space="0"/>
              <w:right w:val="single" w:color="auto" w:sz="4" w:space="0"/>
            </w:tcBorders>
            <w:shd w:val="clear" w:color="auto" w:fill="auto"/>
            <w:noWrap/>
            <w:vAlign w:val="center"/>
          </w:tcPr>
          <w:p w14:paraId="4866AD93">
            <w:pPr>
              <w:widowControl/>
              <w:wordWrap w:val="0"/>
              <w:jc w:val="center"/>
              <w:rPr>
                <w:rFonts w:ascii="Times New Roman" w:hAnsi="Times New Roman" w:eastAsia="宋体" w:cs="Times New Roman"/>
                <w:b/>
                <w:bCs/>
                <w:color w:val="000000"/>
                <w:kern w:val="0"/>
                <w:sz w:val="20"/>
                <w:szCs w:val="20"/>
              </w:rPr>
            </w:pPr>
            <w:r>
              <w:rPr>
                <w:rFonts w:ascii="Times New Roman" w:hAnsi="Times New Roman" w:eastAsia="宋体" w:cs="Times New Roman"/>
                <w:b/>
                <w:bCs/>
                <w:color w:val="000000"/>
                <w:kern w:val="0"/>
                <w:sz w:val="20"/>
                <w:szCs w:val="20"/>
              </w:rPr>
              <w:t>　</w:t>
            </w:r>
          </w:p>
        </w:tc>
        <w:tc>
          <w:tcPr>
            <w:tcW w:w="851" w:type="dxa"/>
            <w:tcBorders>
              <w:top w:val="nil"/>
              <w:left w:val="nil"/>
              <w:bottom w:val="single" w:color="auto" w:sz="4" w:space="0"/>
              <w:right w:val="single" w:color="auto" w:sz="4" w:space="0"/>
            </w:tcBorders>
            <w:shd w:val="clear" w:color="auto" w:fill="auto"/>
            <w:noWrap/>
            <w:vAlign w:val="center"/>
          </w:tcPr>
          <w:p w14:paraId="261DB333">
            <w:pPr>
              <w:widowControl/>
              <w:wordWrap w:val="0"/>
              <w:jc w:val="center"/>
              <w:rPr>
                <w:rFonts w:ascii="Times New Roman" w:hAnsi="Times New Roman" w:eastAsia="宋体" w:cs="Times New Roman"/>
                <w:b/>
                <w:bCs/>
                <w:color w:val="000000"/>
                <w:kern w:val="0"/>
                <w:sz w:val="20"/>
                <w:szCs w:val="20"/>
              </w:rPr>
            </w:pPr>
            <w:r>
              <w:rPr>
                <w:rFonts w:ascii="Times New Roman" w:hAnsi="Times New Roman" w:eastAsia="宋体" w:cs="Times New Roman"/>
                <w:b/>
                <w:bCs/>
                <w:color w:val="000000"/>
                <w:kern w:val="0"/>
                <w:sz w:val="20"/>
                <w:szCs w:val="20"/>
              </w:rPr>
              <w:t>　</w:t>
            </w:r>
          </w:p>
        </w:tc>
        <w:tc>
          <w:tcPr>
            <w:tcW w:w="850" w:type="dxa"/>
            <w:tcBorders>
              <w:top w:val="nil"/>
              <w:left w:val="nil"/>
              <w:bottom w:val="single" w:color="auto" w:sz="4" w:space="0"/>
              <w:right w:val="single" w:color="auto" w:sz="4" w:space="0"/>
            </w:tcBorders>
            <w:shd w:val="clear" w:color="auto" w:fill="auto"/>
            <w:noWrap/>
            <w:vAlign w:val="center"/>
          </w:tcPr>
          <w:p w14:paraId="5C707A5A">
            <w:pPr>
              <w:widowControl/>
              <w:wordWrap w:val="0"/>
              <w:jc w:val="center"/>
              <w:rPr>
                <w:rFonts w:ascii="Times New Roman" w:hAnsi="Times New Roman" w:eastAsia="宋体" w:cs="Times New Roman"/>
                <w:b/>
                <w:bCs/>
                <w:color w:val="000000"/>
                <w:kern w:val="0"/>
                <w:sz w:val="20"/>
                <w:szCs w:val="20"/>
              </w:rPr>
            </w:pPr>
            <w:r>
              <w:rPr>
                <w:rFonts w:ascii="Times New Roman" w:hAnsi="Times New Roman" w:eastAsia="宋体" w:cs="Times New Roman"/>
                <w:b/>
                <w:bCs/>
                <w:color w:val="000000"/>
                <w:kern w:val="0"/>
                <w:sz w:val="20"/>
                <w:szCs w:val="20"/>
              </w:rPr>
              <w:t>　</w:t>
            </w:r>
          </w:p>
        </w:tc>
        <w:tc>
          <w:tcPr>
            <w:tcW w:w="1276" w:type="dxa"/>
            <w:tcBorders>
              <w:top w:val="nil"/>
              <w:left w:val="nil"/>
              <w:bottom w:val="single" w:color="auto" w:sz="4" w:space="0"/>
              <w:right w:val="single" w:color="auto" w:sz="4" w:space="0"/>
            </w:tcBorders>
            <w:shd w:val="clear" w:color="auto" w:fill="auto"/>
            <w:noWrap/>
            <w:vAlign w:val="center"/>
          </w:tcPr>
          <w:p w14:paraId="6212ABD4">
            <w:pPr>
              <w:widowControl/>
              <w:wordWrap w:val="0"/>
              <w:jc w:val="right"/>
              <w:rPr>
                <w:rFonts w:ascii="Times New Roman" w:hAnsi="Times New Roman" w:eastAsia="宋体" w:cs="Times New Roman"/>
                <w:b/>
                <w:bCs/>
                <w:color w:val="000000"/>
                <w:kern w:val="0"/>
                <w:sz w:val="20"/>
                <w:szCs w:val="20"/>
              </w:rPr>
            </w:pPr>
            <w:r>
              <w:rPr>
                <w:rFonts w:ascii="Times New Roman" w:hAnsi="Times New Roman" w:eastAsia="宋体" w:cs="Times New Roman"/>
                <w:b/>
                <w:bCs/>
                <w:color w:val="000000"/>
                <w:kern w:val="0"/>
                <w:sz w:val="20"/>
                <w:szCs w:val="20"/>
              </w:rPr>
              <w:t>350000.00</w:t>
            </w:r>
          </w:p>
        </w:tc>
        <w:tc>
          <w:tcPr>
            <w:tcW w:w="1134" w:type="dxa"/>
            <w:tcBorders>
              <w:top w:val="nil"/>
              <w:left w:val="nil"/>
              <w:bottom w:val="single" w:color="auto" w:sz="4" w:space="0"/>
              <w:right w:val="single" w:color="auto" w:sz="4" w:space="0"/>
            </w:tcBorders>
            <w:shd w:val="clear" w:color="auto" w:fill="auto"/>
            <w:noWrap/>
            <w:vAlign w:val="center"/>
          </w:tcPr>
          <w:p w14:paraId="0156DBC1">
            <w:pPr>
              <w:widowControl/>
              <w:wordWrap w:val="0"/>
              <w:jc w:val="right"/>
              <w:rPr>
                <w:rFonts w:ascii="Times New Roman" w:hAnsi="Times New Roman" w:eastAsia="宋体" w:cs="Times New Roman"/>
                <w:b/>
                <w:bCs/>
                <w:color w:val="000000"/>
                <w:kern w:val="0"/>
                <w:sz w:val="20"/>
                <w:szCs w:val="20"/>
              </w:rPr>
            </w:pPr>
            <w:r>
              <w:rPr>
                <w:rFonts w:ascii="Times New Roman" w:hAnsi="Times New Roman" w:eastAsia="宋体" w:cs="Times New Roman"/>
                <w:b/>
                <w:bCs/>
                <w:color w:val="000000"/>
                <w:kern w:val="0"/>
                <w:sz w:val="20"/>
                <w:szCs w:val="20"/>
              </w:rPr>
              <w:t>0.00</w:t>
            </w:r>
          </w:p>
        </w:tc>
      </w:tr>
      <w:tr w14:paraId="46EBCA45">
        <w:tblPrEx>
          <w:tblCellMar>
            <w:top w:w="0" w:type="dxa"/>
            <w:left w:w="108" w:type="dxa"/>
            <w:bottom w:w="0" w:type="dxa"/>
            <w:right w:w="108" w:type="dxa"/>
          </w:tblCellMar>
        </w:tblPrEx>
        <w:trPr>
          <w:trHeight w:val="500" w:hRule="atLeast"/>
        </w:trPr>
        <w:tc>
          <w:tcPr>
            <w:tcW w:w="567" w:type="dxa"/>
            <w:tcBorders>
              <w:top w:val="nil"/>
              <w:left w:val="single" w:color="auto" w:sz="4" w:space="0"/>
              <w:bottom w:val="single" w:color="auto" w:sz="4" w:space="0"/>
              <w:right w:val="single" w:color="auto" w:sz="4" w:space="0"/>
            </w:tcBorders>
            <w:shd w:val="clear" w:color="auto" w:fill="auto"/>
            <w:noWrap/>
            <w:vAlign w:val="bottom"/>
          </w:tcPr>
          <w:p w14:paraId="3A3E5733">
            <w:pPr>
              <w:widowControl/>
              <w:wordWrap w:val="0"/>
              <w:jc w:val="left"/>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w:t>
            </w:r>
          </w:p>
        </w:tc>
        <w:tc>
          <w:tcPr>
            <w:tcW w:w="4537" w:type="dxa"/>
            <w:tcBorders>
              <w:top w:val="nil"/>
              <w:left w:val="nil"/>
              <w:bottom w:val="single" w:color="auto" w:sz="4" w:space="0"/>
              <w:right w:val="single" w:color="auto" w:sz="4" w:space="0"/>
            </w:tcBorders>
            <w:shd w:val="clear" w:color="auto" w:fill="auto"/>
            <w:noWrap/>
            <w:vAlign w:val="center"/>
          </w:tcPr>
          <w:p w14:paraId="04A41553">
            <w:pPr>
              <w:widowControl/>
              <w:wordWrap w:val="0"/>
              <w:jc w:val="left"/>
              <w:rPr>
                <w:rFonts w:ascii="Times New Roman" w:hAnsi="Times New Roman" w:eastAsia="宋体" w:cs="Times New Roman"/>
                <w:b/>
                <w:bCs/>
                <w:color w:val="000000"/>
                <w:kern w:val="0"/>
                <w:sz w:val="20"/>
                <w:szCs w:val="20"/>
              </w:rPr>
            </w:pPr>
            <w:r>
              <w:rPr>
                <w:rFonts w:hint="eastAsia" w:ascii="宋体" w:hAnsi="宋体" w:eastAsia="宋体" w:cs="Times New Roman"/>
                <w:b/>
                <w:bCs/>
                <w:color w:val="000000"/>
                <w:kern w:val="0"/>
                <w:sz w:val="20"/>
                <w:szCs w:val="20"/>
              </w:rPr>
              <w:t>合计</w:t>
            </w:r>
          </w:p>
        </w:tc>
        <w:tc>
          <w:tcPr>
            <w:tcW w:w="425" w:type="dxa"/>
            <w:tcBorders>
              <w:top w:val="nil"/>
              <w:left w:val="nil"/>
              <w:bottom w:val="single" w:color="auto" w:sz="4" w:space="0"/>
              <w:right w:val="single" w:color="auto" w:sz="4" w:space="0"/>
            </w:tcBorders>
            <w:shd w:val="clear" w:color="auto" w:fill="auto"/>
            <w:noWrap/>
            <w:vAlign w:val="center"/>
          </w:tcPr>
          <w:p w14:paraId="25D2C3CE">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w:t>
            </w:r>
          </w:p>
        </w:tc>
        <w:tc>
          <w:tcPr>
            <w:tcW w:w="425" w:type="dxa"/>
            <w:tcBorders>
              <w:top w:val="nil"/>
              <w:left w:val="nil"/>
              <w:bottom w:val="single" w:color="auto" w:sz="4" w:space="0"/>
              <w:right w:val="single" w:color="auto" w:sz="4" w:space="0"/>
            </w:tcBorders>
            <w:shd w:val="clear" w:color="auto" w:fill="auto"/>
            <w:noWrap/>
            <w:vAlign w:val="center"/>
          </w:tcPr>
          <w:p w14:paraId="21AE8796">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w:t>
            </w:r>
          </w:p>
        </w:tc>
        <w:tc>
          <w:tcPr>
            <w:tcW w:w="851" w:type="dxa"/>
            <w:tcBorders>
              <w:top w:val="nil"/>
              <w:left w:val="nil"/>
              <w:bottom w:val="single" w:color="auto" w:sz="4" w:space="0"/>
              <w:right w:val="single" w:color="auto" w:sz="4" w:space="0"/>
            </w:tcBorders>
            <w:shd w:val="clear" w:color="auto" w:fill="auto"/>
            <w:noWrap/>
            <w:vAlign w:val="center"/>
          </w:tcPr>
          <w:p w14:paraId="3F943F7D">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w:t>
            </w:r>
          </w:p>
        </w:tc>
        <w:tc>
          <w:tcPr>
            <w:tcW w:w="850" w:type="dxa"/>
            <w:tcBorders>
              <w:top w:val="nil"/>
              <w:left w:val="nil"/>
              <w:bottom w:val="single" w:color="auto" w:sz="4" w:space="0"/>
              <w:right w:val="single" w:color="auto" w:sz="4" w:space="0"/>
            </w:tcBorders>
            <w:shd w:val="clear" w:color="auto" w:fill="auto"/>
            <w:noWrap/>
            <w:vAlign w:val="center"/>
          </w:tcPr>
          <w:p w14:paraId="35546884">
            <w:pPr>
              <w:widowControl/>
              <w:wordWrap w:val="0"/>
              <w:jc w:val="center"/>
              <w:rPr>
                <w:rFonts w:ascii="Times New Roman" w:hAnsi="Times New Roman" w:eastAsia="宋体" w:cs="Times New Roman"/>
                <w:color w:val="000000"/>
                <w:kern w:val="0"/>
                <w:sz w:val="20"/>
                <w:szCs w:val="20"/>
              </w:rPr>
            </w:pPr>
            <w:r>
              <w:rPr>
                <w:rFonts w:ascii="Times New Roman" w:hAnsi="Times New Roman" w:eastAsia="宋体" w:cs="Times New Roman"/>
                <w:color w:val="000000"/>
                <w:kern w:val="0"/>
                <w:sz w:val="20"/>
                <w:szCs w:val="20"/>
              </w:rPr>
              <w:t>　</w:t>
            </w:r>
          </w:p>
        </w:tc>
        <w:tc>
          <w:tcPr>
            <w:tcW w:w="1276" w:type="dxa"/>
            <w:tcBorders>
              <w:top w:val="nil"/>
              <w:left w:val="nil"/>
              <w:bottom w:val="single" w:color="auto" w:sz="4" w:space="0"/>
              <w:right w:val="single" w:color="auto" w:sz="4" w:space="0"/>
            </w:tcBorders>
            <w:shd w:val="clear" w:color="auto" w:fill="auto"/>
            <w:noWrap/>
            <w:vAlign w:val="center"/>
          </w:tcPr>
          <w:p w14:paraId="023A5C16">
            <w:pPr>
              <w:widowControl/>
              <w:wordWrap w:val="0"/>
              <w:jc w:val="right"/>
              <w:rPr>
                <w:rFonts w:ascii="Times New Roman" w:hAnsi="Times New Roman" w:eastAsia="宋体" w:cs="Times New Roman"/>
                <w:b/>
                <w:bCs/>
                <w:color w:val="000000"/>
                <w:kern w:val="0"/>
                <w:sz w:val="20"/>
                <w:szCs w:val="20"/>
              </w:rPr>
            </w:pPr>
            <w:r>
              <w:rPr>
                <w:rFonts w:ascii="Times New Roman" w:hAnsi="Times New Roman" w:eastAsia="宋体" w:cs="Times New Roman"/>
                <w:b/>
                <w:bCs/>
                <w:color w:val="000000"/>
                <w:kern w:val="0"/>
                <w:sz w:val="20"/>
                <w:szCs w:val="20"/>
              </w:rPr>
              <w:t xml:space="preserve">1349383.00 </w:t>
            </w:r>
          </w:p>
        </w:tc>
        <w:tc>
          <w:tcPr>
            <w:tcW w:w="1134" w:type="dxa"/>
            <w:tcBorders>
              <w:top w:val="nil"/>
              <w:left w:val="nil"/>
              <w:bottom w:val="single" w:color="auto" w:sz="4" w:space="0"/>
              <w:right w:val="single" w:color="auto" w:sz="4" w:space="0"/>
            </w:tcBorders>
            <w:shd w:val="clear" w:color="auto" w:fill="auto"/>
            <w:noWrap/>
            <w:vAlign w:val="center"/>
          </w:tcPr>
          <w:p w14:paraId="13EB5A16">
            <w:pPr>
              <w:widowControl/>
              <w:wordWrap w:val="0"/>
              <w:jc w:val="right"/>
              <w:rPr>
                <w:rFonts w:ascii="Times New Roman" w:hAnsi="Times New Roman" w:eastAsia="宋体" w:cs="Times New Roman"/>
                <w:b/>
                <w:bCs/>
                <w:color w:val="000000"/>
                <w:kern w:val="0"/>
                <w:sz w:val="20"/>
                <w:szCs w:val="20"/>
              </w:rPr>
            </w:pPr>
            <w:r>
              <w:rPr>
                <w:rFonts w:ascii="Times New Roman" w:hAnsi="Times New Roman" w:eastAsia="宋体" w:cs="Times New Roman"/>
                <w:b/>
                <w:bCs/>
                <w:color w:val="000000"/>
                <w:kern w:val="0"/>
                <w:sz w:val="20"/>
                <w:szCs w:val="20"/>
              </w:rPr>
              <w:t xml:space="preserve">550000.00 </w:t>
            </w:r>
          </w:p>
        </w:tc>
      </w:tr>
    </w:tbl>
    <w:p w14:paraId="5FEDDE33">
      <w:pPr>
        <w:widowControl/>
        <w:jc w:val="left"/>
        <w:rPr>
          <w:rFonts w:ascii="仿宋_GB2312"/>
          <w:szCs w:val="28"/>
        </w:rPr>
      </w:pPr>
      <w:r>
        <w:br w:type="page"/>
      </w:r>
    </w:p>
    <w:p w14:paraId="4372227E">
      <w:pPr>
        <w:pStyle w:val="3"/>
        <w:spacing w:before="0" w:after="0" w:line="360" w:lineRule="auto"/>
        <w:rPr>
          <w:rFonts w:hint="eastAsia" w:ascii="宋体" w:hAnsi="宋体" w:eastAsia="宋体"/>
          <w:sz w:val="28"/>
          <w:szCs w:val="28"/>
        </w:rPr>
      </w:pPr>
      <w:bookmarkStart w:id="450" w:name="_Toc175233420"/>
      <w:r>
        <w:rPr>
          <w:rFonts w:hint="eastAsia" w:ascii="宋体" w:hAnsi="宋体" w:eastAsia="宋体"/>
          <w:sz w:val="28"/>
          <w:szCs w:val="28"/>
        </w:rPr>
        <w:t>独立费用</w:t>
      </w:r>
      <w:bookmarkEnd w:id="450"/>
    </w:p>
    <w:tbl>
      <w:tblPr>
        <w:tblStyle w:val="36"/>
        <w:tblW w:w="5000" w:type="pct"/>
        <w:tblInd w:w="0" w:type="dxa"/>
        <w:tblLayout w:type="fixed"/>
        <w:tblCellMar>
          <w:top w:w="0" w:type="dxa"/>
          <w:left w:w="108" w:type="dxa"/>
          <w:bottom w:w="0" w:type="dxa"/>
          <w:right w:w="108" w:type="dxa"/>
        </w:tblCellMar>
      </w:tblPr>
      <w:tblGrid>
        <w:gridCol w:w="628"/>
        <w:gridCol w:w="2872"/>
        <w:gridCol w:w="2835"/>
        <w:gridCol w:w="696"/>
        <w:gridCol w:w="1255"/>
        <w:gridCol w:w="236"/>
      </w:tblGrid>
      <w:tr w14:paraId="47543191">
        <w:tblPrEx>
          <w:tblCellMar>
            <w:top w:w="0" w:type="dxa"/>
            <w:left w:w="108" w:type="dxa"/>
            <w:bottom w:w="0" w:type="dxa"/>
            <w:right w:w="108" w:type="dxa"/>
          </w:tblCellMar>
        </w:tblPrEx>
        <w:trPr>
          <w:gridAfter w:val="1"/>
          <w:wAfter w:w="130" w:type="pct"/>
          <w:trHeight w:val="624" w:hRule="atLeast"/>
        </w:trPr>
        <w:tc>
          <w:tcPr>
            <w:tcW w:w="370"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0CA21F0F">
            <w:pPr>
              <w:widowControl/>
              <w:jc w:val="center"/>
              <w:rPr>
                <w:rFonts w:ascii="Times New Roman" w:hAnsi="Times New Roman" w:eastAsia="宋体" w:cs="Times New Roman"/>
                <w:kern w:val="0"/>
                <w:sz w:val="22"/>
                <w:szCs w:val="22"/>
              </w:rPr>
            </w:pPr>
            <w:r>
              <w:rPr>
                <w:rFonts w:hint="eastAsia" w:ascii="宋体" w:hAnsi="宋体" w:eastAsia="宋体" w:cs="Times New Roman"/>
                <w:kern w:val="0"/>
                <w:sz w:val="22"/>
                <w:szCs w:val="22"/>
              </w:rPr>
              <w:t>序号</w:t>
            </w:r>
          </w:p>
        </w:tc>
        <w:tc>
          <w:tcPr>
            <w:tcW w:w="1687"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428E2969">
            <w:pPr>
              <w:widowControl/>
              <w:jc w:val="center"/>
              <w:rPr>
                <w:rFonts w:ascii="Times New Roman" w:hAnsi="Times New Roman" w:eastAsia="宋体" w:cs="Times New Roman"/>
                <w:kern w:val="0"/>
                <w:sz w:val="22"/>
                <w:szCs w:val="22"/>
              </w:rPr>
            </w:pPr>
            <w:r>
              <w:rPr>
                <w:rFonts w:hint="eastAsia" w:ascii="宋体" w:hAnsi="宋体" w:eastAsia="宋体" w:cs="Times New Roman"/>
                <w:kern w:val="0"/>
                <w:sz w:val="22"/>
                <w:szCs w:val="22"/>
              </w:rPr>
              <w:t>费用名称</w:t>
            </w:r>
          </w:p>
        </w:tc>
        <w:tc>
          <w:tcPr>
            <w:tcW w:w="1665"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62D78C5D">
            <w:pPr>
              <w:widowControl/>
              <w:jc w:val="center"/>
              <w:rPr>
                <w:rFonts w:ascii="Times New Roman" w:hAnsi="Times New Roman" w:eastAsia="宋体" w:cs="Times New Roman"/>
                <w:kern w:val="0"/>
                <w:sz w:val="22"/>
                <w:szCs w:val="22"/>
              </w:rPr>
            </w:pPr>
            <w:r>
              <w:rPr>
                <w:rFonts w:hint="eastAsia" w:ascii="宋体" w:hAnsi="宋体" w:eastAsia="宋体" w:cs="Times New Roman"/>
                <w:kern w:val="0"/>
                <w:sz w:val="22"/>
                <w:szCs w:val="22"/>
              </w:rPr>
              <w:t>依据</w:t>
            </w:r>
          </w:p>
        </w:tc>
        <w:tc>
          <w:tcPr>
            <w:tcW w:w="410"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0230C938">
            <w:pPr>
              <w:widowControl/>
              <w:jc w:val="center"/>
              <w:rPr>
                <w:rFonts w:ascii="Times New Roman" w:hAnsi="Times New Roman" w:eastAsia="宋体" w:cs="Times New Roman"/>
                <w:kern w:val="0"/>
                <w:sz w:val="22"/>
                <w:szCs w:val="22"/>
              </w:rPr>
            </w:pPr>
            <w:r>
              <w:rPr>
                <w:rFonts w:hint="eastAsia" w:ascii="宋体" w:hAnsi="宋体" w:eastAsia="宋体" w:cs="Times New Roman"/>
                <w:kern w:val="0"/>
                <w:sz w:val="22"/>
                <w:szCs w:val="22"/>
              </w:rPr>
              <w:t>计算公式</w:t>
            </w:r>
          </w:p>
        </w:tc>
        <w:tc>
          <w:tcPr>
            <w:tcW w:w="738"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24A41F5E">
            <w:pPr>
              <w:widowControl/>
              <w:jc w:val="center"/>
              <w:rPr>
                <w:rFonts w:hint="eastAsia" w:ascii="宋体" w:hAnsi="宋体" w:eastAsia="宋体" w:cs="宋体"/>
                <w:kern w:val="0"/>
                <w:sz w:val="22"/>
                <w:szCs w:val="22"/>
              </w:rPr>
            </w:pPr>
            <w:r>
              <w:rPr>
                <w:rFonts w:hint="eastAsia" w:ascii="宋体" w:hAnsi="宋体" w:eastAsia="宋体" w:cs="宋体"/>
                <w:kern w:val="0"/>
                <w:sz w:val="22"/>
                <w:szCs w:val="22"/>
              </w:rPr>
              <w:t>金额（元）</w:t>
            </w:r>
          </w:p>
        </w:tc>
      </w:tr>
      <w:tr w14:paraId="3ACD090A">
        <w:tblPrEx>
          <w:tblCellMar>
            <w:top w:w="0" w:type="dxa"/>
            <w:left w:w="108" w:type="dxa"/>
            <w:bottom w:w="0" w:type="dxa"/>
            <w:right w:w="108" w:type="dxa"/>
          </w:tblCellMar>
        </w:tblPrEx>
        <w:trPr>
          <w:trHeight w:val="500" w:hRule="atLeast"/>
        </w:trPr>
        <w:tc>
          <w:tcPr>
            <w:tcW w:w="370" w:type="pct"/>
            <w:vMerge w:val="continue"/>
            <w:tcBorders>
              <w:top w:val="single" w:color="auto" w:sz="4" w:space="0"/>
              <w:left w:val="single" w:color="auto" w:sz="4" w:space="0"/>
              <w:bottom w:val="single" w:color="auto" w:sz="4" w:space="0"/>
              <w:right w:val="single" w:color="auto" w:sz="4" w:space="0"/>
            </w:tcBorders>
            <w:vAlign w:val="center"/>
          </w:tcPr>
          <w:p w14:paraId="03FE5F0C">
            <w:pPr>
              <w:widowControl/>
              <w:jc w:val="left"/>
              <w:rPr>
                <w:rFonts w:ascii="Times New Roman" w:hAnsi="Times New Roman" w:eastAsia="宋体" w:cs="Times New Roman"/>
                <w:kern w:val="0"/>
                <w:sz w:val="22"/>
                <w:szCs w:val="22"/>
              </w:rPr>
            </w:pPr>
          </w:p>
        </w:tc>
        <w:tc>
          <w:tcPr>
            <w:tcW w:w="1687" w:type="pct"/>
            <w:vMerge w:val="continue"/>
            <w:tcBorders>
              <w:top w:val="single" w:color="auto" w:sz="4" w:space="0"/>
              <w:left w:val="single" w:color="auto" w:sz="4" w:space="0"/>
              <w:bottom w:val="single" w:color="auto" w:sz="4" w:space="0"/>
              <w:right w:val="single" w:color="auto" w:sz="4" w:space="0"/>
            </w:tcBorders>
            <w:vAlign w:val="center"/>
          </w:tcPr>
          <w:p w14:paraId="5090FAE4">
            <w:pPr>
              <w:widowControl/>
              <w:jc w:val="left"/>
              <w:rPr>
                <w:rFonts w:ascii="Times New Roman" w:hAnsi="Times New Roman" w:eastAsia="宋体" w:cs="Times New Roman"/>
                <w:kern w:val="0"/>
                <w:sz w:val="22"/>
                <w:szCs w:val="22"/>
              </w:rPr>
            </w:pPr>
          </w:p>
        </w:tc>
        <w:tc>
          <w:tcPr>
            <w:tcW w:w="1665" w:type="pct"/>
            <w:vMerge w:val="continue"/>
            <w:tcBorders>
              <w:top w:val="single" w:color="auto" w:sz="4" w:space="0"/>
              <w:left w:val="single" w:color="auto" w:sz="4" w:space="0"/>
              <w:bottom w:val="single" w:color="auto" w:sz="4" w:space="0"/>
              <w:right w:val="single" w:color="auto" w:sz="4" w:space="0"/>
            </w:tcBorders>
            <w:vAlign w:val="center"/>
          </w:tcPr>
          <w:p w14:paraId="64F5EB1F">
            <w:pPr>
              <w:widowControl/>
              <w:jc w:val="left"/>
              <w:rPr>
                <w:rFonts w:ascii="Times New Roman" w:hAnsi="Times New Roman" w:eastAsia="宋体" w:cs="Times New Roman"/>
                <w:kern w:val="0"/>
                <w:sz w:val="22"/>
                <w:szCs w:val="22"/>
              </w:rPr>
            </w:pPr>
          </w:p>
        </w:tc>
        <w:tc>
          <w:tcPr>
            <w:tcW w:w="410" w:type="pct"/>
            <w:vMerge w:val="continue"/>
            <w:tcBorders>
              <w:top w:val="single" w:color="auto" w:sz="4" w:space="0"/>
              <w:left w:val="single" w:color="auto" w:sz="4" w:space="0"/>
              <w:bottom w:val="single" w:color="auto" w:sz="4" w:space="0"/>
              <w:right w:val="single" w:color="auto" w:sz="4" w:space="0"/>
            </w:tcBorders>
            <w:vAlign w:val="center"/>
          </w:tcPr>
          <w:p w14:paraId="4949EC7D">
            <w:pPr>
              <w:widowControl/>
              <w:jc w:val="left"/>
              <w:rPr>
                <w:rFonts w:ascii="Times New Roman" w:hAnsi="Times New Roman" w:eastAsia="宋体" w:cs="Times New Roman"/>
                <w:kern w:val="0"/>
                <w:sz w:val="22"/>
                <w:szCs w:val="22"/>
              </w:rPr>
            </w:pPr>
          </w:p>
        </w:tc>
        <w:tc>
          <w:tcPr>
            <w:tcW w:w="738" w:type="pct"/>
            <w:vMerge w:val="continue"/>
            <w:tcBorders>
              <w:top w:val="single" w:color="auto" w:sz="4" w:space="0"/>
              <w:left w:val="single" w:color="auto" w:sz="4" w:space="0"/>
              <w:bottom w:val="single" w:color="auto" w:sz="4" w:space="0"/>
              <w:right w:val="single" w:color="auto" w:sz="4" w:space="0"/>
            </w:tcBorders>
            <w:vAlign w:val="center"/>
          </w:tcPr>
          <w:p w14:paraId="3402444A">
            <w:pPr>
              <w:widowControl/>
              <w:jc w:val="left"/>
              <w:rPr>
                <w:rFonts w:hint="eastAsia" w:ascii="宋体" w:hAnsi="宋体" w:eastAsia="宋体" w:cs="宋体"/>
                <w:kern w:val="0"/>
                <w:sz w:val="22"/>
                <w:szCs w:val="22"/>
              </w:rPr>
            </w:pPr>
          </w:p>
        </w:tc>
        <w:tc>
          <w:tcPr>
            <w:tcW w:w="130" w:type="pct"/>
            <w:tcBorders>
              <w:top w:val="nil"/>
              <w:left w:val="nil"/>
              <w:bottom w:val="nil"/>
              <w:right w:val="nil"/>
            </w:tcBorders>
            <w:shd w:val="clear" w:color="auto" w:fill="auto"/>
            <w:noWrap/>
            <w:vAlign w:val="bottom"/>
          </w:tcPr>
          <w:p w14:paraId="56028C4B">
            <w:pPr>
              <w:widowControl/>
              <w:jc w:val="center"/>
              <w:rPr>
                <w:rFonts w:hint="eastAsia" w:ascii="宋体" w:hAnsi="宋体" w:eastAsia="宋体" w:cs="宋体"/>
                <w:kern w:val="0"/>
                <w:sz w:val="22"/>
                <w:szCs w:val="22"/>
              </w:rPr>
            </w:pPr>
          </w:p>
        </w:tc>
      </w:tr>
      <w:tr w14:paraId="65B4D2D4">
        <w:tblPrEx>
          <w:tblCellMar>
            <w:top w:w="0" w:type="dxa"/>
            <w:left w:w="108" w:type="dxa"/>
            <w:bottom w:w="0" w:type="dxa"/>
            <w:right w:w="108" w:type="dxa"/>
          </w:tblCellMar>
        </w:tblPrEx>
        <w:trPr>
          <w:trHeight w:val="491" w:hRule="atLeast"/>
        </w:trPr>
        <w:tc>
          <w:tcPr>
            <w:tcW w:w="370" w:type="pct"/>
            <w:tcBorders>
              <w:top w:val="nil"/>
              <w:left w:val="single" w:color="auto" w:sz="4" w:space="0"/>
              <w:bottom w:val="single" w:color="auto" w:sz="4" w:space="0"/>
              <w:right w:val="single" w:color="auto" w:sz="4" w:space="0"/>
            </w:tcBorders>
            <w:shd w:val="clear" w:color="auto" w:fill="auto"/>
            <w:noWrap/>
            <w:vAlign w:val="center"/>
          </w:tcPr>
          <w:p w14:paraId="66E09EC5">
            <w:pPr>
              <w:widowControl/>
              <w:jc w:val="center"/>
              <w:rPr>
                <w:rFonts w:ascii="Times New Roman" w:hAnsi="Times New Roman" w:eastAsia="宋体" w:cs="Times New Roman"/>
                <w:b/>
                <w:bCs/>
                <w:kern w:val="0"/>
                <w:sz w:val="20"/>
                <w:szCs w:val="20"/>
              </w:rPr>
            </w:pPr>
            <w:r>
              <w:rPr>
                <w:rFonts w:hint="eastAsia" w:ascii="宋体" w:hAnsi="宋体" w:eastAsia="宋体" w:cs="Times New Roman"/>
                <w:b/>
                <w:bCs/>
                <w:kern w:val="0"/>
                <w:sz w:val="20"/>
                <w:szCs w:val="20"/>
              </w:rPr>
              <w:t>一</w:t>
            </w:r>
          </w:p>
        </w:tc>
        <w:tc>
          <w:tcPr>
            <w:tcW w:w="1687" w:type="pct"/>
            <w:tcBorders>
              <w:top w:val="nil"/>
              <w:left w:val="nil"/>
              <w:bottom w:val="single" w:color="auto" w:sz="4" w:space="0"/>
              <w:right w:val="single" w:color="auto" w:sz="4" w:space="0"/>
            </w:tcBorders>
            <w:shd w:val="clear" w:color="auto" w:fill="auto"/>
            <w:noWrap/>
            <w:vAlign w:val="center"/>
          </w:tcPr>
          <w:p w14:paraId="5237D91C">
            <w:pPr>
              <w:widowControl/>
              <w:jc w:val="left"/>
              <w:rPr>
                <w:rFonts w:hint="eastAsia" w:ascii="宋体" w:hAnsi="宋体" w:eastAsia="宋体" w:cs="宋体"/>
                <w:b/>
                <w:bCs/>
                <w:kern w:val="0"/>
                <w:sz w:val="20"/>
                <w:szCs w:val="20"/>
              </w:rPr>
            </w:pPr>
            <w:r>
              <w:rPr>
                <w:rFonts w:hint="eastAsia" w:ascii="宋体" w:hAnsi="宋体" w:eastAsia="宋体" w:cs="宋体"/>
                <w:b/>
                <w:bCs/>
                <w:kern w:val="0"/>
                <w:sz w:val="20"/>
                <w:szCs w:val="20"/>
              </w:rPr>
              <w:t>建设单位管理费（仅含审计费）</w:t>
            </w:r>
          </w:p>
        </w:tc>
        <w:tc>
          <w:tcPr>
            <w:tcW w:w="1665" w:type="pct"/>
            <w:tcBorders>
              <w:top w:val="nil"/>
              <w:left w:val="nil"/>
              <w:bottom w:val="single" w:color="auto" w:sz="4" w:space="0"/>
              <w:right w:val="single" w:color="auto" w:sz="4" w:space="0"/>
            </w:tcBorders>
            <w:shd w:val="clear" w:color="auto" w:fill="auto"/>
            <w:noWrap/>
            <w:vAlign w:val="center"/>
          </w:tcPr>
          <w:p w14:paraId="4390F671">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　</w:t>
            </w:r>
          </w:p>
        </w:tc>
        <w:tc>
          <w:tcPr>
            <w:tcW w:w="410" w:type="pct"/>
            <w:tcBorders>
              <w:top w:val="nil"/>
              <w:left w:val="nil"/>
              <w:bottom w:val="single" w:color="auto" w:sz="4" w:space="0"/>
              <w:right w:val="single" w:color="auto" w:sz="4" w:space="0"/>
            </w:tcBorders>
            <w:shd w:val="clear" w:color="auto" w:fill="auto"/>
            <w:noWrap/>
            <w:vAlign w:val="center"/>
          </w:tcPr>
          <w:p w14:paraId="2B4B1CC7">
            <w:pPr>
              <w:widowControl/>
              <w:jc w:val="center"/>
              <w:rPr>
                <w:rFonts w:ascii="Times New Roman" w:hAnsi="Times New Roman" w:eastAsia="宋体" w:cs="Times New Roman"/>
                <w:b/>
                <w:bCs/>
                <w:kern w:val="0"/>
                <w:sz w:val="20"/>
                <w:szCs w:val="20"/>
              </w:rPr>
            </w:pPr>
            <w:r>
              <w:rPr>
                <w:rFonts w:ascii="Times New Roman" w:hAnsi="Times New Roman" w:eastAsia="宋体" w:cs="Times New Roman"/>
                <w:b/>
                <w:bCs/>
                <w:kern w:val="0"/>
                <w:sz w:val="20"/>
                <w:szCs w:val="20"/>
              </w:rPr>
              <w:t>　</w:t>
            </w:r>
          </w:p>
        </w:tc>
        <w:tc>
          <w:tcPr>
            <w:tcW w:w="738" w:type="pct"/>
            <w:tcBorders>
              <w:top w:val="nil"/>
              <w:left w:val="nil"/>
              <w:bottom w:val="single" w:color="auto" w:sz="4" w:space="0"/>
              <w:right w:val="single" w:color="auto" w:sz="4" w:space="0"/>
            </w:tcBorders>
            <w:shd w:val="clear" w:color="auto" w:fill="auto"/>
            <w:noWrap/>
            <w:vAlign w:val="center"/>
          </w:tcPr>
          <w:p w14:paraId="7B9BBBF5">
            <w:pPr>
              <w:widowControl/>
              <w:jc w:val="center"/>
              <w:rPr>
                <w:rFonts w:ascii="Times New Roman" w:hAnsi="Times New Roman" w:eastAsia="宋体" w:cs="Times New Roman"/>
                <w:b/>
                <w:bCs/>
                <w:kern w:val="0"/>
                <w:sz w:val="20"/>
                <w:szCs w:val="20"/>
              </w:rPr>
            </w:pPr>
            <w:r>
              <w:rPr>
                <w:rFonts w:ascii="Times New Roman" w:hAnsi="Times New Roman" w:eastAsia="宋体" w:cs="Times New Roman"/>
                <w:b/>
                <w:bCs/>
                <w:kern w:val="0"/>
                <w:sz w:val="20"/>
                <w:szCs w:val="20"/>
              </w:rPr>
              <w:t>6020</w:t>
            </w:r>
          </w:p>
        </w:tc>
        <w:tc>
          <w:tcPr>
            <w:tcW w:w="130" w:type="pct"/>
            <w:vAlign w:val="center"/>
          </w:tcPr>
          <w:p w14:paraId="208692A7">
            <w:pPr>
              <w:widowControl/>
              <w:jc w:val="left"/>
              <w:rPr>
                <w:rFonts w:ascii="Times New Roman" w:hAnsi="Times New Roman" w:eastAsia="Times New Roman" w:cs="Times New Roman"/>
                <w:kern w:val="0"/>
                <w:sz w:val="20"/>
                <w:szCs w:val="20"/>
              </w:rPr>
            </w:pPr>
          </w:p>
        </w:tc>
      </w:tr>
      <w:tr w14:paraId="60127E42">
        <w:tblPrEx>
          <w:tblCellMar>
            <w:top w:w="0" w:type="dxa"/>
            <w:left w:w="108" w:type="dxa"/>
            <w:bottom w:w="0" w:type="dxa"/>
            <w:right w:w="108" w:type="dxa"/>
          </w:tblCellMar>
        </w:tblPrEx>
        <w:trPr>
          <w:trHeight w:val="491" w:hRule="atLeast"/>
        </w:trPr>
        <w:tc>
          <w:tcPr>
            <w:tcW w:w="370" w:type="pct"/>
            <w:tcBorders>
              <w:top w:val="nil"/>
              <w:left w:val="single" w:color="auto" w:sz="4" w:space="0"/>
              <w:bottom w:val="single" w:color="auto" w:sz="4" w:space="0"/>
              <w:right w:val="single" w:color="auto" w:sz="4" w:space="0"/>
            </w:tcBorders>
            <w:shd w:val="clear" w:color="auto" w:fill="auto"/>
            <w:noWrap/>
            <w:vAlign w:val="center"/>
          </w:tcPr>
          <w:p w14:paraId="6508F7C3">
            <w:pPr>
              <w:widowControl/>
              <w:jc w:val="center"/>
              <w:rPr>
                <w:rFonts w:ascii="Times New Roman" w:hAnsi="Times New Roman" w:eastAsia="宋体" w:cs="Times New Roman"/>
                <w:b/>
                <w:bCs/>
                <w:kern w:val="0"/>
                <w:sz w:val="20"/>
                <w:szCs w:val="20"/>
              </w:rPr>
            </w:pPr>
            <w:r>
              <w:rPr>
                <w:rFonts w:hint="eastAsia" w:ascii="宋体" w:hAnsi="宋体" w:eastAsia="宋体" w:cs="Times New Roman"/>
                <w:b/>
                <w:bCs/>
                <w:kern w:val="0"/>
                <w:sz w:val="20"/>
                <w:szCs w:val="20"/>
              </w:rPr>
              <w:t>二</w:t>
            </w:r>
          </w:p>
        </w:tc>
        <w:tc>
          <w:tcPr>
            <w:tcW w:w="1687" w:type="pct"/>
            <w:tcBorders>
              <w:top w:val="nil"/>
              <w:left w:val="nil"/>
              <w:bottom w:val="single" w:color="auto" w:sz="4" w:space="0"/>
              <w:right w:val="single" w:color="auto" w:sz="4" w:space="0"/>
            </w:tcBorders>
            <w:shd w:val="clear" w:color="auto" w:fill="auto"/>
            <w:noWrap/>
            <w:vAlign w:val="center"/>
          </w:tcPr>
          <w:p w14:paraId="2415F17F">
            <w:pPr>
              <w:widowControl/>
              <w:jc w:val="left"/>
              <w:rPr>
                <w:rFonts w:ascii="Times New Roman" w:hAnsi="Times New Roman" w:eastAsia="宋体" w:cs="Times New Roman"/>
                <w:b/>
                <w:bCs/>
                <w:kern w:val="0"/>
                <w:sz w:val="20"/>
                <w:szCs w:val="20"/>
              </w:rPr>
            </w:pPr>
            <w:r>
              <w:rPr>
                <w:rFonts w:hint="eastAsia" w:ascii="宋体" w:hAnsi="宋体" w:eastAsia="宋体" w:cs="Times New Roman"/>
                <w:b/>
                <w:bCs/>
                <w:kern w:val="0"/>
                <w:sz w:val="20"/>
                <w:szCs w:val="20"/>
              </w:rPr>
              <w:t>科研勘察设计费</w:t>
            </w:r>
          </w:p>
        </w:tc>
        <w:tc>
          <w:tcPr>
            <w:tcW w:w="1665" w:type="pct"/>
            <w:tcBorders>
              <w:top w:val="nil"/>
              <w:left w:val="nil"/>
              <w:bottom w:val="single" w:color="auto" w:sz="4" w:space="0"/>
              <w:right w:val="single" w:color="auto" w:sz="4" w:space="0"/>
            </w:tcBorders>
            <w:shd w:val="clear" w:color="auto" w:fill="auto"/>
            <w:noWrap/>
            <w:vAlign w:val="center"/>
          </w:tcPr>
          <w:p w14:paraId="78DE6010">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　</w:t>
            </w:r>
          </w:p>
        </w:tc>
        <w:tc>
          <w:tcPr>
            <w:tcW w:w="410" w:type="pct"/>
            <w:tcBorders>
              <w:top w:val="nil"/>
              <w:left w:val="nil"/>
              <w:bottom w:val="single" w:color="auto" w:sz="4" w:space="0"/>
              <w:right w:val="single" w:color="auto" w:sz="4" w:space="0"/>
            </w:tcBorders>
            <w:shd w:val="clear" w:color="auto" w:fill="auto"/>
            <w:noWrap/>
            <w:vAlign w:val="center"/>
          </w:tcPr>
          <w:p w14:paraId="0618383B">
            <w:pPr>
              <w:widowControl/>
              <w:jc w:val="center"/>
              <w:rPr>
                <w:rFonts w:ascii="Times New Roman" w:hAnsi="Times New Roman" w:eastAsia="宋体" w:cs="Times New Roman"/>
                <w:b/>
                <w:bCs/>
                <w:kern w:val="0"/>
                <w:sz w:val="20"/>
                <w:szCs w:val="20"/>
              </w:rPr>
            </w:pPr>
            <w:r>
              <w:rPr>
                <w:rFonts w:ascii="Times New Roman" w:hAnsi="Times New Roman" w:eastAsia="宋体" w:cs="Times New Roman"/>
                <w:b/>
                <w:bCs/>
                <w:kern w:val="0"/>
                <w:sz w:val="20"/>
                <w:szCs w:val="20"/>
              </w:rPr>
              <w:t>　</w:t>
            </w:r>
          </w:p>
        </w:tc>
        <w:tc>
          <w:tcPr>
            <w:tcW w:w="738" w:type="pct"/>
            <w:tcBorders>
              <w:top w:val="nil"/>
              <w:left w:val="nil"/>
              <w:bottom w:val="single" w:color="auto" w:sz="4" w:space="0"/>
              <w:right w:val="single" w:color="auto" w:sz="4" w:space="0"/>
            </w:tcBorders>
            <w:shd w:val="clear" w:color="auto" w:fill="auto"/>
            <w:noWrap/>
            <w:vAlign w:val="center"/>
          </w:tcPr>
          <w:p w14:paraId="6A31F0FE">
            <w:pPr>
              <w:widowControl/>
              <w:jc w:val="center"/>
              <w:rPr>
                <w:rFonts w:ascii="Times New Roman" w:hAnsi="Times New Roman" w:eastAsia="宋体" w:cs="Times New Roman"/>
                <w:b/>
                <w:bCs/>
                <w:kern w:val="0"/>
                <w:sz w:val="20"/>
                <w:szCs w:val="20"/>
              </w:rPr>
            </w:pPr>
            <w:r>
              <w:rPr>
                <w:rFonts w:ascii="Times New Roman" w:hAnsi="Times New Roman" w:eastAsia="宋体" w:cs="Times New Roman"/>
                <w:b/>
                <w:bCs/>
                <w:kern w:val="0"/>
                <w:sz w:val="20"/>
                <w:szCs w:val="20"/>
              </w:rPr>
              <w:t>29800</w:t>
            </w:r>
          </w:p>
        </w:tc>
        <w:tc>
          <w:tcPr>
            <w:tcW w:w="130" w:type="pct"/>
            <w:vAlign w:val="center"/>
          </w:tcPr>
          <w:p w14:paraId="18F73E01">
            <w:pPr>
              <w:widowControl/>
              <w:jc w:val="left"/>
              <w:rPr>
                <w:rFonts w:ascii="Times New Roman" w:hAnsi="Times New Roman" w:eastAsia="Times New Roman" w:cs="Times New Roman"/>
                <w:kern w:val="0"/>
                <w:sz w:val="20"/>
                <w:szCs w:val="20"/>
              </w:rPr>
            </w:pPr>
          </w:p>
        </w:tc>
      </w:tr>
      <w:tr w14:paraId="52FA423A">
        <w:tblPrEx>
          <w:tblCellMar>
            <w:top w:w="0" w:type="dxa"/>
            <w:left w:w="108" w:type="dxa"/>
            <w:bottom w:w="0" w:type="dxa"/>
            <w:right w:w="108" w:type="dxa"/>
          </w:tblCellMar>
        </w:tblPrEx>
        <w:trPr>
          <w:trHeight w:val="491" w:hRule="atLeast"/>
        </w:trPr>
        <w:tc>
          <w:tcPr>
            <w:tcW w:w="370" w:type="pct"/>
            <w:tcBorders>
              <w:top w:val="nil"/>
              <w:left w:val="single" w:color="auto" w:sz="4" w:space="0"/>
              <w:bottom w:val="single" w:color="auto" w:sz="4" w:space="0"/>
              <w:right w:val="single" w:color="auto" w:sz="4" w:space="0"/>
            </w:tcBorders>
            <w:shd w:val="clear" w:color="auto" w:fill="auto"/>
            <w:noWrap/>
            <w:vAlign w:val="center"/>
          </w:tcPr>
          <w:p w14:paraId="40829845">
            <w:pPr>
              <w:widowControl/>
              <w:jc w:val="center"/>
              <w:rPr>
                <w:rFonts w:ascii="Times New Roman" w:hAnsi="Times New Roman" w:eastAsia="宋体" w:cs="Times New Roman"/>
                <w:b/>
                <w:bCs/>
                <w:kern w:val="0"/>
                <w:sz w:val="20"/>
                <w:szCs w:val="20"/>
              </w:rPr>
            </w:pPr>
            <w:r>
              <w:rPr>
                <w:rFonts w:hint="eastAsia" w:ascii="宋体" w:hAnsi="宋体" w:eastAsia="宋体" w:cs="Times New Roman"/>
                <w:b/>
                <w:bCs/>
                <w:kern w:val="0"/>
                <w:sz w:val="20"/>
                <w:szCs w:val="20"/>
              </w:rPr>
              <w:t>三</w:t>
            </w:r>
          </w:p>
        </w:tc>
        <w:tc>
          <w:tcPr>
            <w:tcW w:w="1687" w:type="pct"/>
            <w:tcBorders>
              <w:top w:val="nil"/>
              <w:left w:val="nil"/>
              <w:bottom w:val="single" w:color="auto" w:sz="4" w:space="0"/>
              <w:right w:val="single" w:color="auto" w:sz="4" w:space="0"/>
            </w:tcBorders>
            <w:shd w:val="clear" w:color="auto" w:fill="auto"/>
            <w:noWrap/>
            <w:vAlign w:val="center"/>
          </w:tcPr>
          <w:p w14:paraId="6D18774A">
            <w:pPr>
              <w:widowControl/>
              <w:jc w:val="left"/>
              <w:rPr>
                <w:rFonts w:ascii="Times New Roman" w:hAnsi="Times New Roman" w:eastAsia="宋体" w:cs="Times New Roman"/>
                <w:b/>
                <w:bCs/>
                <w:kern w:val="0"/>
                <w:sz w:val="20"/>
                <w:szCs w:val="20"/>
              </w:rPr>
            </w:pPr>
            <w:r>
              <w:rPr>
                <w:rFonts w:hint="eastAsia" w:ascii="宋体" w:hAnsi="宋体" w:eastAsia="宋体" w:cs="Times New Roman"/>
                <w:b/>
                <w:bCs/>
                <w:kern w:val="0"/>
                <w:sz w:val="20"/>
                <w:szCs w:val="20"/>
              </w:rPr>
              <w:t>其它</w:t>
            </w:r>
          </w:p>
        </w:tc>
        <w:tc>
          <w:tcPr>
            <w:tcW w:w="1665" w:type="pct"/>
            <w:tcBorders>
              <w:top w:val="nil"/>
              <w:left w:val="nil"/>
              <w:bottom w:val="single" w:color="auto" w:sz="4" w:space="0"/>
              <w:right w:val="single" w:color="auto" w:sz="4" w:space="0"/>
            </w:tcBorders>
            <w:shd w:val="clear" w:color="auto" w:fill="auto"/>
            <w:noWrap/>
            <w:vAlign w:val="center"/>
          </w:tcPr>
          <w:p w14:paraId="5EA5451F">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　</w:t>
            </w:r>
          </w:p>
        </w:tc>
        <w:tc>
          <w:tcPr>
            <w:tcW w:w="410" w:type="pct"/>
            <w:tcBorders>
              <w:top w:val="nil"/>
              <w:left w:val="nil"/>
              <w:bottom w:val="single" w:color="auto" w:sz="4" w:space="0"/>
              <w:right w:val="single" w:color="auto" w:sz="4" w:space="0"/>
            </w:tcBorders>
            <w:shd w:val="clear" w:color="auto" w:fill="auto"/>
            <w:noWrap/>
            <w:vAlign w:val="center"/>
          </w:tcPr>
          <w:p w14:paraId="05599E31">
            <w:pPr>
              <w:widowControl/>
              <w:jc w:val="center"/>
              <w:rPr>
                <w:rFonts w:ascii="Times New Roman" w:hAnsi="Times New Roman" w:eastAsia="宋体" w:cs="Times New Roman"/>
                <w:b/>
                <w:bCs/>
                <w:kern w:val="0"/>
                <w:sz w:val="20"/>
                <w:szCs w:val="20"/>
              </w:rPr>
            </w:pPr>
            <w:r>
              <w:rPr>
                <w:rFonts w:ascii="Times New Roman" w:hAnsi="Times New Roman" w:eastAsia="宋体" w:cs="Times New Roman"/>
                <w:b/>
                <w:bCs/>
                <w:kern w:val="0"/>
                <w:sz w:val="20"/>
                <w:szCs w:val="20"/>
              </w:rPr>
              <w:t>　</w:t>
            </w:r>
          </w:p>
        </w:tc>
        <w:tc>
          <w:tcPr>
            <w:tcW w:w="738" w:type="pct"/>
            <w:tcBorders>
              <w:top w:val="nil"/>
              <w:left w:val="nil"/>
              <w:bottom w:val="single" w:color="auto" w:sz="4" w:space="0"/>
              <w:right w:val="single" w:color="auto" w:sz="4" w:space="0"/>
            </w:tcBorders>
            <w:shd w:val="clear" w:color="auto" w:fill="auto"/>
            <w:noWrap/>
            <w:vAlign w:val="center"/>
          </w:tcPr>
          <w:p w14:paraId="5A166ECD">
            <w:pPr>
              <w:widowControl/>
              <w:jc w:val="center"/>
              <w:rPr>
                <w:rFonts w:ascii="Times New Roman" w:hAnsi="Times New Roman" w:eastAsia="宋体" w:cs="Times New Roman"/>
                <w:b/>
                <w:bCs/>
                <w:kern w:val="0"/>
                <w:sz w:val="20"/>
                <w:szCs w:val="20"/>
              </w:rPr>
            </w:pPr>
            <w:r>
              <w:rPr>
                <w:rFonts w:ascii="Times New Roman" w:hAnsi="Times New Roman" w:eastAsia="宋体" w:cs="Times New Roman"/>
                <w:b/>
                <w:bCs/>
                <w:kern w:val="0"/>
                <w:sz w:val="20"/>
                <w:szCs w:val="20"/>
              </w:rPr>
              <w:t>55300</w:t>
            </w:r>
          </w:p>
        </w:tc>
        <w:tc>
          <w:tcPr>
            <w:tcW w:w="130" w:type="pct"/>
            <w:vAlign w:val="center"/>
          </w:tcPr>
          <w:p w14:paraId="29A5A6BC">
            <w:pPr>
              <w:widowControl/>
              <w:jc w:val="left"/>
              <w:rPr>
                <w:rFonts w:ascii="Times New Roman" w:hAnsi="Times New Roman" w:eastAsia="Times New Roman" w:cs="Times New Roman"/>
                <w:kern w:val="0"/>
                <w:sz w:val="20"/>
                <w:szCs w:val="20"/>
              </w:rPr>
            </w:pPr>
          </w:p>
        </w:tc>
      </w:tr>
      <w:tr w14:paraId="014D70A9">
        <w:tblPrEx>
          <w:tblCellMar>
            <w:top w:w="0" w:type="dxa"/>
            <w:left w:w="108" w:type="dxa"/>
            <w:bottom w:w="0" w:type="dxa"/>
            <w:right w:w="108" w:type="dxa"/>
          </w:tblCellMar>
        </w:tblPrEx>
        <w:trPr>
          <w:trHeight w:val="491" w:hRule="atLeast"/>
        </w:trPr>
        <w:tc>
          <w:tcPr>
            <w:tcW w:w="370" w:type="pct"/>
            <w:tcBorders>
              <w:top w:val="nil"/>
              <w:left w:val="single" w:color="auto" w:sz="4" w:space="0"/>
              <w:bottom w:val="single" w:color="auto" w:sz="4" w:space="0"/>
              <w:right w:val="single" w:color="auto" w:sz="4" w:space="0"/>
            </w:tcBorders>
            <w:shd w:val="clear" w:color="auto" w:fill="auto"/>
            <w:noWrap/>
            <w:vAlign w:val="center"/>
          </w:tcPr>
          <w:p w14:paraId="65CB934B">
            <w:pPr>
              <w:widowControl/>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t>1</w:t>
            </w:r>
          </w:p>
        </w:tc>
        <w:tc>
          <w:tcPr>
            <w:tcW w:w="1687" w:type="pct"/>
            <w:tcBorders>
              <w:top w:val="nil"/>
              <w:left w:val="nil"/>
              <w:bottom w:val="single" w:color="auto" w:sz="4" w:space="0"/>
              <w:right w:val="single" w:color="auto" w:sz="4" w:space="0"/>
            </w:tcBorders>
            <w:shd w:val="clear" w:color="auto" w:fill="auto"/>
            <w:noWrap/>
            <w:vAlign w:val="center"/>
          </w:tcPr>
          <w:p w14:paraId="4DDE977C">
            <w:pPr>
              <w:widowControl/>
              <w:jc w:val="left"/>
              <w:rPr>
                <w:rFonts w:hint="eastAsia" w:ascii="宋体" w:hAnsi="宋体" w:eastAsia="宋体" w:cs="宋体"/>
                <w:kern w:val="0"/>
                <w:sz w:val="20"/>
                <w:szCs w:val="20"/>
              </w:rPr>
            </w:pPr>
            <w:r>
              <w:rPr>
                <w:rFonts w:hint="eastAsia" w:ascii="宋体" w:hAnsi="宋体" w:eastAsia="宋体" w:cs="宋体"/>
                <w:kern w:val="0"/>
                <w:sz w:val="20"/>
                <w:szCs w:val="20"/>
              </w:rPr>
              <w:t>工程建设监理费</w:t>
            </w:r>
          </w:p>
        </w:tc>
        <w:tc>
          <w:tcPr>
            <w:tcW w:w="1665" w:type="pct"/>
            <w:tcBorders>
              <w:top w:val="nil"/>
              <w:left w:val="nil"/>
              <w:bottom w:val="single" w:color="auto" w:sz="4" w:space="0"/>
              <w:right w:val="single" w:color="auto" w:sz="4" w:space="0"/>
            </w:tcBorders>
            <w:shd w:val="clear" w:color="auto" w:fill="auto"/>
            <w:noWrap/>
            <w:vAlign w:val="center"/>
          </w:tcPr>
          <w:p w14:paraId="6F6657D2">
            <w:pPr>
              <w:widowControl/>
              <w:jc w:val="left"/>
              <w:rPr>
                <w:rFonts w:ascii="Times New Roman" w:hAnsi="Times New Roman" w:eastAsia="宋体" w:cs="Times New Roman"/>
                <w:kern w:val="0"/>
                <w:sz w:val="20"/>
                <w:szCs w:val="20"/>
              </w:rPr>
            </w:pPr>
            <w:r>
              <w:rPr>
                <w:rFonts w:hint="eastAsia" w:ascii="宋体" w:hAnsi="宋体" w:eastAsia="宋体" w:cs="Times New Roman"/>
                <w:kern w:val="0"/>
                <w:sz w:val="20"/>
                <w:szCs w:val="20"/>
              </w:rPr>
              <w:t>发改收费</w:t>
            </w:r>
            <w:r>
              <w:rPr>
                <w:rFonts w:ascii="Times New Roman" w:hAnsi="Times New Roman" w:eastAsia="宋体" w:cs="Times New Roman"/>
                <w:kern w:val="0"/>
                <w:sz w:val="20"/>
                <w:szCs w:val="20"/>
              </w:rPr>
              <w:t>[2007]670</w:t>
            </w:r>
            <w:r>
              <w:rPr>
                <w:rFonts w:hint="eastAsia" w:ascii="宋体" w:hAnsi="宋体" w:eastAsia="宋体" w:cs="Times New Roman"/>
                <w:kern w:val="0"/>
                <w:sz w:val="20"/>
                <w:szCs w:val="20"/>
              </w:rPr>
              <w:t>号</w:t>
            </w:r>
          </w:p>
        </w:tc>
        <w:tc>
          <w:tcPr>
            <w:tcW w:w="410" w:type="pct"/>
            <w:tcBorders>
              <w:top w:val="nil"/>
              <w:left w:val="nil"/>
              <w:bottom w:val="single" w:color="auto" w:sz="4" w:space="0"/>
              <w:right w:val="single" w:color="auto" w:sz="4" w:space="0"/>
            </w:tcBorders>
            <w:shd w:val="clear" w:color="auto" w:fill="auto"/>
            <w:noWrap/>
            <w:vAlign w:val="center"/>
          </w:tcPr>
          <w:p w14:paraId="44440315">
            <w:pPr>
              <w:widowControl/>
              <w:jc w:val="center"/>
              <w:rPr>
                <w:rFonts w:ascii="Times New Roman" w:hAnsi="Times New Roman" w:eastAsia="宋体" w:cs="Times New Roman"/>
                <w:b/>
                <w:bCs/>
                <w:kern w:val="0"/>
                <w:sz w:val="20"/>
                <w:szCs w:val="20"/>
              </w:rPr>
            </w:pPr>
            <w:r>
              <w:rPr>
                <w:rFonts w:ascii="Times New Roman" w:hAnsi="Times New Roman" w:eastAsia="宋体" w:cs="Times New Roman"/>
                <w:b/>
                <w:bCs/>
                <w:kern w:val="0"/>
                <w:sz w:val="20"/>
                <w:szCs w:val="20"/>
              </w:rPr>
              <w:t>　</w:t>
            </w:r>
          </w:p>
        </w:tc>
        <w:tc>
          <w:tcPr>
            <w:tcW w:w="738" w:type="pct"/>
            <w:tcBorders>
              <w:top w:val="nil"/>
              <w:left w:val="nil"/>
              <w:bottom w:val="single" w:color="auto" w:sz="4" w:space="0"/>
              <w:right w:val="single" w:color="auto" w:sz="4" w:space="0"/>
            </w:tcBorders>
            <w:shd w:val="clear" w:color="auto" w:fill="auto"/>
            <w:noWrap/>
            <w:vAlign w:val="center"/>
          </w:tcPr>
          <w:p w14:paraId="003716C6">
            <w:pPr>
              <w:widowControl/>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t>21500</w:t>
            </w:r>
          </w:p>
        </w:tc>
        <w:tc>
          <w:tcPr>
            <w:tcW w:w="130" w:type="pct"/>
            <w:vAlign w:val="center"/>
          </w:tcPr>
          <w:p w14:paraId="5C714ABF">
            <w:pPr>
              <w:widowControl/>
              <w:jc w:val="left"/>
              <w:rPr>
                <w:rFonts w:ascii="Times New Roman" w:hAnsi="Times New Roman" w:eastAsia="Times New Roman" w:cs="Times New Roman"/>
                <w:kern w:val="0"/>
                <w:sz w:val="20"/>
                <w:szCs w:val="20"/>
              </w:rPr>
            </w:pPr>
          </w:p>
        </w:tc>
      </w:tr>
      <w:tr w14:paraId="1E4DD7DE">
        <w:tblPrEx>
          <w:tblCellMar>
            <w:top w:w="0" w:type="dxa"/>
            <w:left w:w="108" w:type="dxa"/>
            <w:bottom w:w="0" w:type="dxa"/>
            <w:right w:w="108" w:type="dxa"/>
          </w:tblCellMar>
        </w:tblPrEx>
        <w:trPr>
          <w:trHeight w:val="491" w:hRule="atLeast"/>
        </w:trPr>
        <w:tc>
          <w:tcPr>
            <w:tcW w:w="370" w:type="pct"/>
            <w:tcBorders>
              <w:top w:val="nil"/>
              <w:left w:val="single" w:color="auto" w:sz="4" w:space="0"/>
              <w:bottom w:val="single" w:color="auto" w:sz="4" w:space="0"/>
              <w:right w:val="single" w:color="auto" w:sz="4" w:space="0"/>
            </w:tcBorders>
            <w:shd w:val="clear" w:color="auto" w:fill="auto"/>
            <w:noWrap/>
            <w:vAlign w:val="center"/>
          </w:tcPr>
          <w:p w14:paraId="12E7BB25">
            <w:pPr>
              <w:widowControl/>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t>2</w:t>
            </w:r>
          </w:p>
        </w:tc>
        <w:tc>
          <w:tcPr>
            <w:tcW w:w="1687" w:type="pct"/>
            <w:tcBorders>
              <w:top w:val="nil"/>
              <w:left w:val="nil"/>
              <w:bottom w:val="single" w:color="auto" w:sz="4" w:space="0"/>
              <w:right w:val="single" w:color="auto" w:sz="4" w:space="0"/>
            </w:tcBorders>
            <w:shd w:val="clear" w:color="auto" w:fill="auto"/>
            <w:noWrap/>
            <w:vAlign w:val="center"/>
          </w:tcPr>
          <w:p w14:paraId="5F033350">
            <w:pPr>
              <w:widowControl/>
              <w:jc w:val="left"/>
              <w:rPr>
                <w:rFonts w:hint="eastAsia" w:ascii="宋体" w:hAnsi="宋体" w:eastAsia="宋体" w:cs="宋体"/>
                <w:kern w:val="0"/>
                <w:sz w:val="20"/>
                <w:szCs w:val="20"/>
              </w:rPr>
            </w:pPr>
            <w:r>
              <w:rPr>
                <w:rFonts w:hint="eastAsia" w:ascii="宋体" w:hAnsi="宋体" w:eastAsia="宋体" w:cs="宋体"/>
                <w:kern w:val="0"/>
                <w:sz w:val="20"/>
                <w:szCs w:val="20"/>
              </w:rPr>
              <w:t>工程招投标代理费</w:t>
            </w:r>
          </w:p>
        </w:tc>
        <w:tc>
          <w:tcPr>
            <w:tcW w:w="1665" w:type="pct"/>
            <w:tcBorders>
              <w:top w:val="nil"/>
              <w:left w:val="nil"/>
              <w:bottom w:val="single" w:color="auto" w:sz="4" w:space="0"/>
              <w:right w:val="single" w:color="auto" w:sz="4" w:space="0"/>
            </w:tcBorders>
            <w:shd w:val="clear" w:color="auto" w:fill="auto"/>
            <w:noWrap/>
            <w:vAlign w:val="center"/>
          </w:tcPr>
          <w:p w14:paraId="18D4643C">
            <w:pPr>
              <w:widowControl/>
              <w:jc w:val="left"/>
              <w:rPr>
                <w:rFonts w:ascii="Times New Roman" w:hAnsi="Times New Roman" w:eastAsia="宋体" w:cs="Times New Roman"/>
                <w:kern w:val="0"/>
                <w:sz w:val="20"/>
                <w:szCs w:val="20"/>
              </w:rPr>
            </w:pPr>
            <w:r>
              <w:rPr>
                <w:rFonts w:hint="eastAsia" w:ascii="宋体" w:hAnsi="宋体" w:eastAsia="宋体" w:cs="Times New Roman"/>
                <w:kern w:val="0"/>
                <w:sz w:val="20"/>
                <w:szCs w:val="20"/>
              </w:rPr>
              <w:t>发改价格</w:t>
            </w:r>
            <w:r>
              <w:rPr>
                <w:rFonts w:ascii="Times New Roman" w:hAnsi="Times New Roman" w:eastAsia="宋体" w:cs="Times New Roman"/>
                <w:kern w:val="0"/>
                <w:sz w:val="20"/>
                <w:szCs w:val="20"/>
              </w:rPr>
              <w:t>[2011]534</w:t>
            </w:r>
            <w:r>
              <w:rPr>
                <w:rFonts w:hint="eastAsia" w:ascii="宋体" w:hAnsi="宋体" w:eastAsia="宋体" w:cs="Times New Roman"/>
                <w:kern w:val="0"/>
                <w:sz w:val="20"/>
                <w:szCs w:val="20"/>
              </w:rPr>
              <w:t>号</w:t>
            </w:r>
          </w:p>
        </w:tc>
        <w:tc>
          <w:tcPr>
            <w:tcW w:w="410" w:type="pct"/>
            <w:tcBorders>
              <w:top w:val="nil"/>
              <w:left w:val="nil"/>
              <w:bottom w:val="single" w:color="auto" w:sz="4" w:space="0"/>
              <w:right w:val="single" w:color="auto" w:sz="4" w:space="0"/>
            </w:tcBorders>
            <w:shd w:val="clear" w:color="auto" w:fill="auto"/>
            <w:noWrap/>
            <w:vAlign w:val="center"/>
          </w:tcPr>
          <w:p w14:paraId="27161DA0">
            <w:pPr>
              <w:widowControl/>
              <w:jc w:val="center"/>
              <w:rPr>
                <w:rFonts w:ascii="Times New Roman" w:hAnsi="Times New Roman" w:eastAsia="宋体" w:cs="Times New Roman"/>
                <w:b/>
                <w:bCs/>
                <w:kern w:val="0"/>
                <w:sz w:val="20"/>
                <w:szCs w:val="20"/>
              </w:rPr>
            </w:pPr>
            <w:r>
              <w:rPr>
                <w:rFonts w:ascii="Times New Roman" w:hAnsi="Times New Roman" w:eastAsia="宋体" w:cs="Times New Roman"/>
                <w:b/>
                <w:bCs/>
                <w:kern w:val="0"/>
                <w:sz w:val="20"/>
                <w:szCs w:val="20"/>
              </w:rPr>
              <w:t>　</w:t>
            </w:r>
          </w:p>
        </w:tc>
        <w:tc>
          <w:tcPr>
            <w:tcW w:w="738" w:type="pct"/>
            <w:tcBorders>
              <w:top w:val="nil"/>
              <w:left w:val="nil"/>
              <w:bottom w:val="single" w:color="auto" w:sz="4" w:space="0"/>
              <w:right w:val="single" w:color="auto" w:sz="4" w:space="0"/>
            </w:tcBorders>
            <w:shd w:val="clear" w:color="auto" w:fill="auto"/>
            <w:noWrap/>
            <w:vAlign w:val="center"/>
          </w:tcPr>
          <w:p w14:paraId="167B5613">
            <w:pPr>
              <w:widowControl/>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t>11000</w:t>
            </w:r>
          </w:p>
        </w:tc>
        <w:tc>
          <w:tcPr>
            <w:tcW w:w="130" w:type="pct"/>
            <w:vAlign w:val="center"/>
          </w:tcPr>
          <w:p w14:paraId="14A1CD4E">
            <w:pPr>
              <w:widowControl/>
              <w:jc w:val="left"/>
              <w:rPr>
                <w:rFonts w:ascii="Times New Roman" w:hAnsi="Times New Roman" w:eastAsia="Times New Roman" w:cs="Times New Roman"/>
                <w:kern w:val="0"/>
                <w:sz w:val="20"/>
                <w:szCs w:val="20"/>
              </w:rPr>
            </w:pPr>
          </w:p>
        </w:tc>
      </w:tr>
      <w:tr w14:paraId="420B45B1">
        <w:tblPrEx>
          <w:tblCellMar>
            <w:top w:w="0" w:type="dxa"/>
            <w:left w:w="108" w:type="dxa"/>
            <w:bottom w:w="0" w:type="dxa"/>
            <w:right w:w="108" w:type="dxa"/>
          </w:tblCellMar>
        </w:tblPrEx>
        <w:trPr>
          <w:trHeight w:val="491" w:hRule="atLeast"/>
        </w:trPr>
        <w:tc>
          <w:tcPr>
            <w:tcW w:w="370" w:type="pct"/>
            <w:tcBorders>
              <w:top w:val="nil"/>
              <w:left w:val="single" w:color="auto" w:sz="4" w:space="0"/>
              <w:bottom w:val="single" w:color="auto" w:sz="4" w:space="0"/>
              <w:right w:val="single" w:color="auto" w:sz="4" w:space="0"/>
            </w:tcBorders>
            <w:shd w:val="clear" w:color="auto" w:fill="auto"/>
            <w:noWrap/>
            <w:vAlign w:val="center"/>
          </w:tcPr>
          <w:p w14:paraId="2B5F31C5">
            <w:pPr>
              <w:widowControl/>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t>3</w:t>
            </w:r>
          </w:p>
        </w:tc>
        <w:tc>
          <w:tcPr>
            <w:tcW w:w="1687" w:type="pct"/>
            <w:tcBorders>
              <w:top w:val="nil"/>
              <w:left w:val="nil"/>
              <w:bottom w:val="single" w:color="auto" w:sz="4" w:space="0"/>
              <w:right w:val="single" w:color="auto" w:sz="4" w:space="0"/>
            </w:tcBorders>
            <w:shd w:val="clear" w:color="auto" w:fill="auto"/>
            <w:noWrap/>
            <w:vAlign w:val="center"/>
          </w:tcPr>
          <w:p w14:paraId="7E052F66">
            <w:pPr>
              <w:widowControl/>
              <w:jc w:val="left"/>
              <w:rPr>
                <w:rFonts w:hint="eastAsia" w:ascii="宋体" w:hAnsi="宋体" w:eastAsia="宋体" w:cs="宋体"/>
                <w:kern w:val="0"/>
                <w:sz w:val="20"/>
                <w:szCs w:val="20"/>
              </w:rPr>
            </w:pPr>
            <w:r>
              <w:rPr>
                <w:rFonts w:hint="eastAsia" w:ascii="宋体" w:hAnsi="宋体" w:eastAsia="宋体" w:cs="宋体"/>
                <w:kern w:val="0"/>
                <w:sz w:val="20"/>
                <w:szCs w:val="20"/>
              </w:rPr>
              <w:t>工程质量检测费</w:t>
            </w:r>
          </w:p>
        </w:tc>
        <w:tc>
          <w:tcPr>
            <w:tcW w:w="1665" w:type="pct"/>
            <w:tcBorders>
              <w:top w:val="nil"/>
              <w:left w:val="nil"/>
              <w:bottom w:val="single" w:color="auto" w:sz="4" w:space="0"/>
              <w:right w:val="single" w:color="auto" w:sz="4" w:space="0"/>
            </w:tcBorders>
            <w:shd w:val="clear" w:color="auto" w:fill="auto"/>
            <w:noWrap/>
            <w:vAlign w:val="center"/>
          </w:tcPr>
          <w:p w14:paraId="27F85E48">
            <w:pPr>
              <w:widowControl/>
              <w:jc w:val="left"/>
              <w:rPr>
                <w:rFonts w:ascii="Times New Roman" w:hAnsi="Times New Roman" w:eastAsia="宋体" w:cs="Times New Roman"/>
                <w:kern w:val="0"/>
                <w:sz w:val="20"/>
                <w:szCs w:val="20"/>
              </w:rPr>
            </w:pPr>
            <w:r>
              <w:rPr>
                <w:rFonts w:hint="eastAsia" w:ascii="宋体" w:hAnsi="宋体" w:eastAsia="宋体" w:cs="Times New Roman"/>
                <w:kern w:val="0"/>
                <w:sz w:val="20"/>
                <w:szCs w:val="20"/>
              </w:rPr>
              <w:t>按照国家或省有关规定执行</w:t>
            </w:r>
          </w:p>
        </w:tc>
        <w:tc>
          <w:tcPr>
            <w:tcW w:w="410" w:type="pct"/>
            <w:tcBorders>
              <w:top w:val="nil"/>
              <w:left w:val="nil"/>
              <w:bottom w:val="single" w:color="auto" w:sz="4" w:space="0"/>
              <w:right w:val="single" w:color="auto" w:sz="4" w:space="0"/>
            </w:tcBorders>
            <w:shd w:val="clear" w:color="auto" w:fill="auto"/>
            <w:noWrap/>
            <w:vAlign w:val="center"/>
          </w:tcPr>
          <w:p w14:paraId="7E45BE4E">
            <w:pPr>
              <w:widowControl/>
              <w:jc w:val="center"/>
              <w:rPr>
                <w:rFonts w:ascii="Times New Roman" w:hAnsi="Times New Roman" w:eastAsia="宋体" w:cs="Times New Roman"/>
                <w:b/>
                <w:bCs/>
                <w:kern w:val="0"/>
                <w:sz w:val="20"/>
                <w:szCs w:val="20"/>
              </w:rPr>
            </w:pPr>
            <w:r>
              <w:rPr>
                <w:rFonts w:ascii="Times New Roman" w:hAnsi="Times New Roman" w:eastAsia="宋体" w:cs="Times New Roman"/>
                <w:b/>
                <w:bCs/>
                <w:kern w:val="0"/>
                <w:sz w:val="20"/>
                <w:szCs w:val="20"/>
              </w:rPr>
              <w:t>　</w:t>
            </w:r>
          </w:p>
        </w:tc>
        <w:tc>
          <w:tcPr>
            <w:tcW w:w="738" w:type="pct"/>
            <w:tcBorders>
              <w:top w:val="nil"/>
              <w:left w:val="nil"/>
              <w:bottom w:val="single" w:color="auto" w:sz="4" w:space="0"/>
              <w:right w:val="single" w:color="auto" w:sz="4" w:space="0"/>
            </w:tcBorders>
            <w:shd w:val="clear" w:color="auto" w:fill="auto"/>
            <w:noWrap/>
            <w:vAlign w:val="center"/>
          </w:tcPr>
          <w:p w14:paraId="54A2A17C">
            <w:pPr>
              <w:widowControl/>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t>18500</w:t>
            </w:r>
          </w:p>
        </w:tc>
        <w:tc>
          <w:tcPr>
            <w:tcW w:w="130" w:type="pct"/>
            <w:vAlign w:val="center"/>
          </w:tcPr>
          <w:p w14:paraId="7E19E24B">
            <w:pPr>
              <w:widowControl/>
              <w:jc w:val="left"/>
              <w:rPr>
                <w:rFonts w:ascii="Times New Roman" w:hAnsi="Times New Roman" w:eastAsia="Times New Roman" w:cs="Times New Roman"/>
                <w:kern w:val="0"/>
                <w:sz w:val="20"/>
                <w:szCs w:val="20"/>
              </w:rPr>
            </w:pPr>
          </w:p>
        </w:tc>
      </w:tr>
      <w:tr w14:paraId="654D90A6">
        <w:tblPrEx>
          <w:tblCellMar>
            <w:top w:w="0" w:type="dxa"/>
            <w:left w:w="108" w:type="dxa"/>
            <w:bottom w:w="0" w:type="dxa"/>
            <w:right w:w="108" w:type="dxa"/>
          </w:tblCellMar>
        </w:tblPrEx>
        <w:trPr>
          <w:trHeight w:val="491" w:hRule="atLeast"/>
        </w:trPr>
        <w:tc>
          <w:tcPr>
            <w:tcW w:w="370" w:type="pct"/>
            <w:tcBorders>
              <w:top w:val="nil"/>
              <w:left w:val="single" w:color="auto" w:sz="4" w:space="0"/>
              <w:bottom w:val="single" w:color="auto" w:sz="4" w:space="0"/>
              <w:right w:val="single" w:color="auto" w:sz="4" w:space="0"/>
            </w:tcBorders>
            <w:shd w:val="clear" w:color="auto" w:fill="auto"/>
            <w:noWrap/>
            <w:vAlign w:val="center"/>
          </w:tcPr>
          <w:p w14:paraId="457D6740">
            <w:pPr>
              <w:widowControl/>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t>4</w:t>
            </w:r>
          </w:p>
        </w:tc>
        <w:tc>
          <w:tcPr>
            <w:tcW w:w="1687" w:type="pct"/>
            <w:tcBorders>
              <w:top w:val="nil"/>
              <w:left w:val="nil"/>
              <w:bottom w:val="single" w:color="auto" w:sz="4" w:space="0"/>
              <w:right w:val="single" w:color="auto" w:sz="4" w:space="0"/>
            </w:tcBorders>
            <w:shd w:val="clear" w:color="auto" w:fill="auto"/>
            <w:noWrap/>
            <w:vAlign w:val="center"/>
          </w:tcPr>
          <w:p w14:paraId="76EED4D1">
            <w:pPr>
              <w:widowControl/>
              <w:jc w:val="left"/>
              <w:rPr>
                <w:rFonts w:hint="eastAsia" w:ascii="宋体" w:hAnsi="宋体" w:eastAsia="宋体" w:cs="宋体"/>
                <w:kern w:val="0"/>
                <w:sz w:val="20"/>
                <w:szCs w:val="20"/>
              </w:rPr>
            </w:pPr>
            <w:r>
              <w:rPr>
                <w:rFonts w:hint="eastAsia" w:ascii="宋体" w:hAnsi="宋体" w:eastAsia="宋体" w:cs="宋体"/>
                <w:kern w:val="0"/>
                <w:sz w:val="20"/>
                <w:szCs w:val="20"/>
              </w:rPr>
              <w:t>招标控制价编制费</w:t>
            </w:r>
          </w:p>
        </w:tc>
        <w:tc>
          <w:tcPr>
            <w:tcW w:w="1665" w:type="pct"/>
            <w:tcBorders>
              <w:top w:val="nil"/>
              <w:left w:val="nil"/>
              <w:bottom w:val="single" w:color="auto" w:sz="4" w:space="0"/>
              <w:right w:val="single" w:color="auto" w:sz="4" w:space="0"/>
            </w:tcBorders>
            <w:shd w:val="clear" w:color="auto" w:fill="auto"/>
            <w:noWrap/>
            <w:vAlign w:val="center"/>
          </w:tcPr>
          <w:p w14:paraId="43675C92">
            <w:pPr>
              <w:widowControl/>
              <w:jc w:val="left"/>
              <w:rPr>
                <w:rFonts w:ascii="Times New Roman" w:hAnsi="Times New Roman" w:eastAsia="宋体" w:cs="Times New Roman"/>
                <w:kern w:val="0"/>
                <w:sz w:val="20"/>
                <w:szCs w:val="20"/>
              </w:rPr>
            </w:pPr>
            <w:r>
              <w:rPr>
                <w:rFonts w:hint="eastAsia" w:ascii="宋体" w:hAnsi="宋体" w:eastAsia="宋体" w:cs="Times New Roman"/>
                <w:kern w:val="0"/>
                <w:sz w:val="20"/>
                <w:szCs w:val="20"/>
              </w:rPr>
              <w:t>青建价协【</w:t>
            </w:r>
            <w:r>
              <w:rPr>
                <w:rFonts w:ascii="Times New Roman" w:hAnsi="Times New Roman" w:eastAsia="宋体" w:cs="Times New Roman"/>
                <w:kern w:val="0"/>
                <w:sz w:val="20"/>
                <w:szCs w:val="20"/>
              </w:rPr>
              <w:t>2023</w:t>
            </w:r>
            <w:r>
              <w:rPr>
                <w:rFonts w:hint="eastAsia" w:ascii="宋体" w:hAnsi="宋体" w:eastAsia="宋体" w:cs="Times New Roman"/>
                <w:kern w:val="0"/>
                <w:sz w:val="20"/>
                <w:szCs w:val="20"/>
              </w:rPr>
              <w:t>】</w:t>
            </w:r>
            <w:r>
              <w:rPr>
                <w:rFonts w:ascii="Times New Roman" w:hAnsi="Times New Roman" w:eastAsia="宋体" w:cs="Times New Roman"/>
                <w:kern w:val="0"/>
                <w:sz w:val="20"/>
                <w:szCs w:val="20"/>
              </w:rPr>
              <w:t>24</w:t>
            </w:r>
            <w:r>
              <w:rPr>
                <w:rFonts w:hint="eastAsia" w:ascii="宋体" w:hAnsi="宋体" w:eastAsia="宋体" w:cs="Times New Roman"/>
                <w:kern w:val="0"/>
                <w:sz w:val="20"/>
                <w:szCs w:val="20"/>
              </w:rPr>
              <w:t>号文</w:t>
            </w:r>
          </w:p>
        </w:tc>
        <w:tc>
          <w:tcPr>
            <w:tcW w:w="410" w:type="pct"/>
            <w:tcBorders>
              <w:top w:val="nil"/>
              <w:left w:val="nil"/>
              <w:bottom w:val="single" w:color="auto" w:sz="4" w:space="0"/>
              <w:right w:val="single" w:color="auto" w:sz="4" w:space="0"/>
            </w:tcBorders>
            <w:shd w:val="clear" w:color="auto" w:fill="auto"/>
            <w:noWrap/>
            <w:vAlign w:val="center"/>
          </w:tcPr>
          <w:p w14:paraId="6F57369C">
            <w:pPr>
              <w:widowControl/>
              <w:jc w:val="center"/>
              <w:rPr>
                <w:rFonts w:ascii="Times New Roman" w:hAnsi="Times New Roman" w:eastAsia="宋体" w:cs="Times New Roman"/>
                <w:b/>
                <w:bCs/>
                <w:kern w:val="0"/>
                <w:sz w:val="20"/>
                <w:szCs w:val="20"/>
              </w:rPr>
            </w:pPr>
            <w:r>
              <w:rPr>
                <w:rFonts w:ascii="Times New Roman" w:hAnsi="Times New Roman" w:eastAsia="宋体" w:cs="Times New Roman"/>
                <w:b/>
                <w:bCs/>
                <w:kern w:val="0"/>
                <w:sz w:val="20"/>
                <w:szCs w:val="20"/>
              </w:rPr>
              <w:t>　</w:t>
            </w:r>
          </w:p>
        </w:tc>
        <w:tc>
          <w:tcPr>
            <w:tcW w:w="738" w:type="pct"/>
            <w:tcBorders>
              <w:top w:val="nil"/>
              <w:left w:val="nil"/>
              <w:bottom w:val="single" w:color="auto" w:sz="4" w:space="0"/>
              <w:right w:val="single" w:color="auto" w:sz="4" w:space="0"/>
            </w:tcBorders>
            <w:shd w:val="clear" w:color="auto" w:fill="auto"/>
            <w:noWrap/>
            <w:vAlign w:val="center"/>
          </w:tcPr>
          <w:p w14:paraId="7FD6FC40">
            <w:pPr>
              <w:widowControl/>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t>2300</w:t>
            </w:r>
          </w:p>
        </w:tc>
        <w:tc>
          <w:tcPr>
            <w:tcW w:w="130" w:type="pct"/>
            <w:vAlign w:val="center"/>
          </w:tcPr>
          <w:p w14:paraId="75980D92">
            <w:pPr>
              <w:widowControl/>
              <w:jc w:val="left"/>
              <w:rPr>
                <w:rFonts w:ascii="Times New Roman" w:hAnsi="Times New Roman" w:eastAsia="Times New Roman" w:cs="Times New Roman"/>
                <w:kern w:val="0"/>
                <w:sz w:val="20"/>
                <w:szCs w:val="20"/>
              </w:rPr>
            </w:pPr>
          </w:p>
        </w:tc>
      </w:tr>
      <w:tr w14:paraId="2969CF19">
        <w:tblPrEx>
          <w:tblCellMar>
            <w:top w:w="0" w:type="dxa"/>
            <w:left w:w="108" w:type="dxa"/>
            <w:bottom w:w="0" w:type="dxa"/>
            <w:right w:w="108" w:type="dxa"/>
          </w:tblCellMar>
        </w:tblPrEx>
        <w:trPr>
          <w:trHeight w:val="491" w:hRule="atLeast"/>
        </w:trPr>
        <w:tc>
          <w:tcPr>
            <w:tcW w:w="370" w:type="pct"/>
            <w:tcBorders>
              <w:top w:val="nil"/>
              <w:left w:val="single" w:color="auto" w:sz="4" w:space="0"/>
              <w:bottom w:val="single" w:color="auto" w:sz="4" w:space="0"/>
              <w:right w:val="single" w:color="auto" w:sz="4" w:space="0"/>
            </w:tcBorders>
            <w:shd w:val="clear" w:color="auto" w:fill="auto"/>
            <w:noWrap/>
            <w:vAlign w:val="center"/>
          </w:tcPr>
          <w:p w14:paraId="6BB31ED2">
            <w:pPr>
              <w:widowControl/>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t>5</w:t>
            </w:r>
          </w:p>
        </w:tc>
        <w:tc>
          <w:tcPr>
            <w:tcW w:w="1687" w:type="pct"/>
            <w:tcBorders>
              <w:top w:val="nil"/>
              <w:left w:val="nil"/>
              <w:bottom w:val="single" w:color="auto" w:sz="4" w:space="0"/>
              <w:right w:val="single" w:color="auto" w:sz="4" w:space="0"/>
            </w:tcBorders>
            <w:shd w:val="clear" w:color="auto" w:fill="auto"/>
            <w:noWrap/>
            <w:vAlign w:val="center"/>
          </w:tcPr>
          <w:p w14:paraId="51B25B6B">
            <w:pPr>
              <w:widowControl/>
              <w:jc w:val="left"/>
              <w:rPr>
                <w:rFonts w:hint="eastAsia" w:ascii="宋体" w:hAnsi="宋体" w:eastAsia="宋体" w:cs="宋体"/>
                <w:kern w:val="0"/>
                <w:sz w:val="20"/>
                <w:szCs w:val="20"/>
              </w:rPr>
            </w:pPr>
            <w:r>
              <w:rPr>
                <w:rFonts w:hint="eastAsia" w:ascii="宋体" w:hAnsi="宋体" w:eastAsia="宋体" w:cs="宋体"/>
                <w:kern w:val="0"/>
                <w:sz w:val="20"/>
                <w:szCs w:val="20"/>
              </w:rPr>
              <w:t>工程量清单编制费</w:t>
            </w:r>
          </w:p>
        </w:tc>
        <w:tc>
          <w:tcPr>
            <w:tcW w:w="1665" w:type="pct"/>
            <w:tcBorders>
              <w:top w:val="nil"/>
              <w:left w:val="nil"/>
              <w:bottom w:val="single" w:color="auto" w:sz="4" w:space="0"/>
              <w:right w:val="single" w:color="auto" w:sz="4" w:space="0"/>
            </w:tcBorders>
            <w:shd w:val="clear" w:color="auto" w:fill="auto"/>
            <w:noWrap/>
            <w:vAlign w:val="center"/>
          </w:tcPr>
          <w:p w14:paraId="4269FEE6">
            <w:pPr>
              <w:widowControl/>
              <w:jc w:val="left"/>
              <w:rPr>
                <w:rFonts w:ascii="Times New Roman" w:hAnsi="Times New Roman" w:eastAsia="宋体" w:cs="Times New Roman"/>
                <w:kern w:val="0"/>
                <w:sz w:val="20"/>
                <w:szCs w:val="20"/>
              </w:rPr>
            </w:pPr>
            <w:r>
              <w:rPr>
                <w:rFonts w:hint="eastAsia" w:ascii="宋体" w:hAnsi="宋体" w:eastAsia="宋体" w:cs="Times New Roman"/>
                <w:kern w:val="0"/>
                <w:sz w:val="20"/>
                <w:szCs w:val="20"/>
              </w:rPr>
              <w:t>青建价协【</w:t>
            </w:r>
            <w:r>
              <w:rPr>
                <w:rFonts w:ascii="Times New Roman" w:hAnsi="Times New Roman" w:eastAsia="宋体" w:cs="Times New Roman"/>
                <w:kern w:val="0"/>
                <w:sz w:val="20"/>
                <w:szCs w:val="20"/>
              </w:rPr>
              <w:t>2023</w:t>
            </w:r>
            <w:r>
              <w:rPr>
                <w:rFonts w:hint="eastAsia" w:ascii="宋体" w:hAnsi="宋体" w:eastAsia="宋体" w:cs="Times New Roman"/>
                <w:kern w:val="0"/>
                <w:sz w:val="20"/>
                <w:szCs w:val="20"/>
              </w:rPr>
              <w:t>】</w:t>
            </w:r>
            <w:r>
              <w:rPr>
                <w:rFonts w:ascii="Times New Roman" w:hAnsi="Times New Roman" w:eastAsia="宋体" w:cs="Times New Roman"/>
                <w:kern w:val="0"/>
                <w:sz w:val="20"/>
                <w:szCs w:val="20"/>
              </w:rPr>
              <w:t>24</w:t>
            </w:r>
            <w:r>
              <w:rPr>
                <w:rFonts w:hint="eastAsia" w:ascii="宋体" w:hAnsi="宋体" w:eastAsia="宋体" w:cs="Times New Roman"/>
                <w:kern w:val="0"/>
                <w:sz w:val="20"/>
                <w:szCs w:val="20"/>
              </w:rPr>
              <w:t>号文</w:t>
            </w:r>
          </w:p>
        </w:tc>
        <w:tc>
          <w:tcPr>
            <w:tcW w:w="410" w:type="pct"/>
            <w:tcBorders>
              <w:top w:val="nil"/>
              <w:left w:val="nil"/>
              <w:bottom w:val="single" w:color="auto" w:sz="4" w:space="0"/>
              <w:right w:val="single" w:color="auto" w:sz="4" w:space="0"/>
            </w:tcBorders>
            <w:shd w:val="clear" w:color="auto" w:fill="auto"/>
            <w:vAlign w:val="center"/>
          </w:tcPr>
          <w:p w14:paraId="77648E06">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　</w:t>
            </w:r>
          </w:p>
        </w:tc>
        <w:tc>
          <w:tcPr>
            <w:tcW w:w="738" w:type="pct"/>
            <w:tcBorders>
              <w:top w:val="nil"/>
              <w:left w:val="nil"/>
              <w:bottom w:val="single" w:color="auto" w:sz="4" w:space="0"/>
              <w:right w:val="single" w:color="auto" w:sz="4" w:space="0"/>
            </w:tcBorders>
            <w:shd w:val="clear" w:color="auto" w:fill="auto"/>
            <w:noWrap/>
            <w:vAlign w:val="center"/>
          </w:tcPr>
          <w:p w14:paraId="67A97F87">
            <w:pPr>
              <w:widowControl/>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t>2000</w:t>
            </w:r>
          </w:p>
        </w:tc>
        <w:tc>
          <w:tcPr>
            <w:tcW w:w="130" w:type="pct"/>
            <w:vAlign w:val="center"/>
          </w:tcPr>
          <w:p w14:paraId="6C8E47EA">
            <w:pPr>
              <w:widowControl/>
              <w:jc w:val="left"/>
              <w:rPr>
                <w:rFonts w:ascii="Times New Roman" w:hAnsi="Times New Roman" w:eastAsia="Times New Roman" w:cs="Times New Roman"/>
                <w:kern w:val="0"/>
                <w:sz w:val="20"/>
                <w:szCs w:val="20"/>
              </w:rPr>
            </w:pPr>
          </w:p>
        </w:tc>
      </w:tr>
      <w:tr w14:paraId="5F29027E">
        <w:tblPrEx>
          <w:tblCellMar>
            <w:top w:w="0" w:type="dxa"/>
            <w:left w:w="108" w:type="dxa"/>
            <w:bottom w:w="0" w:type="dxa"/>
            <w:right w:w="108" w:type="dxa"/>
          </w:tblCellMar>
        </w:tblPrEx>
        <w:trPr>
          <w:trHeight w:val="491" w:hRule="atLeast"/>
        </w:trPr>
        <w:tc>
          <w:tcPr>
            <w:tcW w:w="370" w:type="pct"/>
            <w:tcBorders>
              <w:top w:val="nil"/>
              <w:left w:val="single" w:color="auto" w:sz="4" w:space="0"/>
              <w:bottom w:val="single" w:color="auto" w:sz="4" w:space="0"/>
              <w:right w:val="single" w:color="auto" w:sz="4" w:space="0"/>
            </w:tcBorders>
            <w:shd w:val="clear" w:color="auto" w:fill="auto"/>
            <w:noWrap/>
            <w:vAlign w:val="center"/>
          </w:tcPr>
          <w:p w14:paraId="5B3ACBEB">
            <w:pPr>
              <w:widowControl/>
              <w:jc w:val="center"/>
              <w:rPr>
                <w:rFonts w:ascii="Times New Roman" w:hAnsi="Times New Roman" w:eastAsia="宋体" w:cs="Times New Roman"/>
                <w:b/>
                <w:bCs/>
                <w:kern w:val="0"/>
                <w:sz w:val="20"/>
                <w:szCs w:val="20"/>
              </w:rPr>
            </w:pPr>
            <w:r>
              <w:rPr>
                <w:rFonts w:ascii="Times New Roman" w:hAnsi="Times New Roman" w:eastAsia="宋体" w:cs="Times New Roman"/>
                <w:b/>
                <w:bCs/>
                <w:kern w:val="0"/>
                <w:sz w:val="20"/>
                <w:szCs w:val="20"/>
              </w:rPr>
              <w:t>　</w:t>
            </w:r>
          </w:p>
        </w:tc>
        <w:tc>
          <w:tcPr>
            <w:tcW w:w="1687" w:type="pct"/>
            <w:tcBorders>
              <w:top w:val="nil"/>
              <w:left w:val="nil"/>
              <w:bottom w:val="single" w:color="auto" w:sz="4" w:space="0"/>
              <w:right w:val="single" w:color="auto" w:sz="4" w:space="0"/>
            </w:tcBorders>
            <w:shd w:val="clear" w:color="auto" w:fill="auto"/>
            <w:noWrap/>
            <w:vAlign w:val="center"/>
          </w:tcPr>
          <w:p w14:paraId="79ADEE67">
            <w:pPr>
              <w:widowControl/>
              <w:jc w:val="left"/>
              <w:rPr>
                <w:rFonts w:hint="eastAsia" w:ascii="宋体" w:hAnsi="宋体" w:eastAsia="宋体" w:cs="宋体"/>
                <w:b/>
                <w:bCs/>
                <w:kern w:val="0"/>
                <w:sz w:val="20"/>
                <w:szCs w:val="20"/>
              </w:rPr>
            </w:pPr>
            <w:r>
              <w:rPr>
                <w:rFonts w:hint="eastAsia" w:ascii="宋体" w:hAnsi="宋体" w:eastAsia="宋体" w:cs="宋体"/>
                <w:b/>
                <w:bCs/>
                <w:kern w:val="0"/>
                <w:sz w:val="20"/>
                <w:szCs w:val="20"/>
              </w:rPr>
              <w:t>　</w:t>
            </w:r>
          </w:p>
        </w:tc>
        <w:tc>
          <w:tcPr>
            <w:tcW w:w="1665" w:type="pct"/>
            <w:tcBorders>
              <w:top w:val="nil"/>
              <w:left w:val="nil"/>
              <w:bottom w:val="single" w:color="auto" w:sz="4" w:space="0"/>
              <w:right w:val="single" w:color="auto" w:sz="4" w:space="0"/>
            </w:tcBorders>
            <w:shd w:val="clear" w:color="auto" w:fill="auto"/>
            <w:noWrap/>
            <w:vAlign w:val="center"/>
          </w:tcPr>
          <w:p w14:paraId="209FE52C">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　</w:t>
            </w:r>
          </w:p>
        </w:tc>
        <w:tc>
          <w:tcPr>
            <w:tcW w:w="410" w:type="pct"/>
            <w:tcBorders>
              <w:top w:val="nil"/>
              <w:left w:val="nil"/>
              <w:bottom w:val="single" w:color="auto" w:sz="4" w:space="0"/>
              <w:right w:val="single" w:color="auto" w:sz="4" w:space="0"/>
            </w:tcBorders>
            <w:shd w:val="clear" w:color="auto" w:fill="auto"/>
            <w:vAlign w:val="center"/>
          </w:tcPr>
          <w:p w14:paraId="31279749">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　</w:t>
            </w:r>
          </w:p>
        </w:tc>
        <w:tc>
          <w:tcPr>
            <w:tcW w:w="738" w:type="pct"/>
            <w:tcBorders>
              <w:top w:val="nil"/>
              <w:left w:val="nil"/>
              <w:bottom w:val="single" w:color="auto" w:sz="4" w:space="0"/>
              <w:right w:val="single" w:color="auto" w:sz="4" w:space="0"/>
            </w:tcBorders>
            <w:shd w:val="clear" w:color="auto" w:fill="auto"/>
            <w:noWrap/>
            <w:vAlign w:val="center"/>
          </w:tcPr>
          <w:p w14:paraId="56E39E3D">
            <w:pPr>
              <w:widowControl/>
              <w:jc w:val="center"/>
              <w:rPr>
                <w:rFonts w:ascii="Times New Roman" w:hAnsi="Times New Roman" w:eastAsia="宋体" w:cs="Times New Roman"/>
                <w:b/>
                <w:bCs/>
                <w:kern w:val="0"/>
                <w:sz w:val="20"/>
                <w:szCs w:val="20"/>
              </w:rPr>
            </w:pPr>
            <w:r>
              <w:rPr>
                <w:rFonts w:ascii="Times New Roman" w:hAnsi="Times New Roman" w:eastAsia="宋体" w:cs="Times New Roman"/>
                <w:b/>
                <w:bCs/>
                <w:kern w:val="0"/>
                <w:sz w:val="20"/>
                <w:szCs w:val="20"/>
              </w:rPr>
              <w:t>　</w:t>
            </w:r>
          </w:p>
        </w:tc>
        <w:tc>
          <w:tcPr>
            <w:tcW w:w="130" w:type="pct"/>
            <w:vAlign w:val="center"/>
          </w:tcPr>
          <w:p w14:paraId="753A7860">
            <w:pPr>
              <w:widowControl/>
              <w:jc w:val="left"/>
              <w:rPr>
                <w:rFonts w:ascii="Times New Roman" w:hAnsi="Times New Roman" w:eastAsia="Times New Roman" w:cs="Times New Roman"/>
                <w:kern w:val="0"/>
                <w:sz w:val="20"/>
                <w:szCs w:val="20"/>
              </w:rPr>
            </w:pPr>
          </w:p>
        </w:tc>
      </w:tr>
      <w:tr w14:paraId="090151BF">
        <w:tblPrEx>
          <w:tblCellMar>
            <w:top w:w="0" w:type="dxa"/>
            <w:left w:w="108" w:type="dxa"/>
            <w:bottom w:w="0" w:type="dxa"/>
            <w:right w:w="108" w:type="dxa"/>
          </w:tblCellMar>
        </w:tblPrEx>
        <w:trPr>
          <w:trHeight w:val="491" w:hRule="atLeast"/>
        </w:trPr>
        <w:tc>
          <w:tcPr>
            <w:tcW w:w="370" w:type="pct"/>
            <w:tcBorders>
              <w:top w:val="nil"/>
              <w:left w:val="single" w:color="auto" w:sz="4" w:space="0"/>
              <w:bottom w:val="single" w:color="auto" w:sz="4" w:space="0"/>
              <w:right w:val="single" w:color="auto" w:sz="4" w:space="0"/>
            </w:tcBorders>
            <w:shd w:val="clear" w:color="auto" w:fill="auto"/>
            <w:noWrap/>
            <w:vAlign w:val="center"/>
          </w:tcPr>
          <w:p w14:paraId="43519349">
            <w:pPr>
              <w:widowControl/>
              <w:jc w:val="center"/>
              <w:rPr>
                <w:rFonts w:ascii="Times New Roman" w:hAnsi="Times New Roman" w:eastAsia="宋体" w:cs="Times New Roman"/>
                <w:b/>
                <w:bCs/>
                <w:kern w:val="0"/>
                <w:sz w:val="20"/>
                <w:szCs w:val="20"/>
              </w:rPr>
            </w:pPr>
            <w:r>
              <w:rPr>
                <w:rFonts w:ascii="Times New Roman" w:hAnsi="Times New Roman" w:eastAsia="宋体" w:cs="Times New Roman"/>
                <w:b/>
                <w:bCs/>
                <w:kern w:val="0"/>
                <w:sz w:val="20"/>
                <w:szCs w:val="20"/>
              </w:rPr>
              <w:t>　</w:t>
            </w:r>
          </w:p>
        </w:tc>
        <w:tc>
          <w:tcPr>
            <w:tcW w:w="1687" w:type="pct"/>
            <w:tcBorders>
              <w:top w:val="nil"/>
              <w:left w:val="nil"/>
              <w:bottom w:val="single" w:color="auto" w:sz="4" w:space="0"/>
              <w:right w:val="single" w:color="auto" w:sz="4" w:space="0"/>
            </w:tcBorders>
            <w:shd w:val="clear" w:color="auto" w:fill="auto"/>
            <w:noWrap/>
            <w:vAlign w:val="center"/>
          </w:tcPr>
          <w:p w14:paraId="2B8C267F">
            <w:pPr>
              <w:widowControl/>
              <w:jc w:val="left"/>
              <w:rPr>
                <w:rFonts w:hint="eastAsia" w:ascii="宋体" w:hAnsi="宋体" w:eastAsia="宋体" w:cs="宋体"/>
                <w:b/>
                <w:bCs/>
                <w:kern w:val="0"/>
                <w:sz w:val="20"/>
                <w:szCs w:val="20"/>
              </w:rPr>
            </w:pPr>
            <w:r>
              <w:rPr>
                <w:rFonts w:hint="eastAsia" w:ascii="宋体" w:hAnsi="宋体" w:eastAsia="宋体" w:cs="宋体"/>
                <w:b/>
                <w:bCs/>
                <w:kern w:val="0"/>
                <w:sz w:val="20"/>
                <w:szCs w:val="20"/>
              </w:rPr>
              <w:t>　</w:t>
            </w:r>
          </w:p>
        </w:tc>
        <w:tc>
          <w:tcPr>
            <w:tcW w:w="1665" w:type="pct"/>
            <w:tcBorders>
              <w:top w:val="nil"/>
              <w:left w:val="nil"/>
              <w:bottom w:val="single" w:color="auto" w:sz="4" w:space="0"/>
              <w:right w:val="single" w:color="auto" w:sz="4" w:space="0"/>
            </w:tcBorders>
            <w:shd w:val="clear" w:color="auto" w:fill="auto"/>
            <w:noWrap/>
            <w:vAlign w:val="center"/>
          </w:tcPr>
          <w:p w14:paraId="3AAD9AD9">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　</w:t>
            </w:r>
          </w:p>
        </w:tc>
        <w:tc>
          <w:tcPr>
            <w:tcW w:w="410" w:type="pct"/>
            <w:tcBorders>
              <w:top w:val="nil"/>
              <w:left w:val="nil"/>
              <w:bottom w:val="single" w:color="auto" w:sz="4" w:space="0"/>
              <w:right w:val="single" w:color="auto" w:sz="4" w:space="0"/>
            </w:tcBorders>
            <w:shd w:val="clear" w:color="auto" w:fill="auto"/>
            <w:vAlign w:val="center"/>
          </w:tcPr>
          <w:p w14:paraId="311A3FF7">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　</w:t>
            </w:r>
          </w:p>
        </w:tc>
        <w:tc>
          <w:tcPr>
            <w:tcW w:w="738" w:type="pct"/>
            <w:tcBorders>
              <w:top w:val="nil"/>
              <w:left w:val="nil"/>
              <w:bottom w:val="single" w:color="auto" w:sz="4" w:space="0"/>
              <w:right w:val="single" w:color="auto" w:sz="4" w:space="0"/>
            </w:tcBorders>
            <w:shd w:val="clear" w:color="auto" w:fill="auto"/>
            <w:noWrap/>
            <w:vAlign w:val="center"/>
          </w:tcPr>
          <w:p w14:paraId="5714A4FF">
            <w:pPr>
              <w:widowControl/>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t>　</w:t>
            </w:r>
          </w:p>
        </w:tc>
        <w:tc>
          <w:tcPr>
            <w:tcW w:w="130" w:type="pct"/>
            <w:vAlign w:val="center"/>
          </w:tcPr>
          <w:p w14:paraId="4E0AA24D">
            <w:pPr>
              <w:widowControl/>
              <w:jc w:val="left"/>
              <w:rPr>
                <w:rFonts w:ascii="Times New Roman" w:hAnsi="Times New Roman" w:eastAsia="Times New Roman" w:cs="Times New Roman"/>
                <w:kern w:val="0"/>
                <w:sz w:val="20"/>
                <w:szCs w:val="20"/>
              </w:rPr>
            </w:pPr>
          </w:p>
        </w:tc>
      </w:tr>
      <w:tr w14:paraId="2F671D04">
        <w:tblPrEx>
          <w:tblCellMar>
            <w:top w:w="0" w:type="dxa"/>
            <w:left w:w="108" w:type="dxa"/>
            <w:bottom w:w="0" w:type="dxa"/>
            <w:right w:w="108" w:type="dxa"/>
          </w:tblCellMar>
        </w:tblPrEx>
        <w:trPr>
          <w:trHeight w:val="491" w:hRule="atLeast"/>
        </w:trPr>
        <w:tc>
          <w:tcPr>
            <w:tcW w:w="370" w:type="pct"/>
            <w:tcBorders>
              <w:top w:val="nil"/>
              <w:left w:val="single" w:color="auto" w:sz="4" w:space="0"/>
              <w:bottom w:val="single" w:color="auto" w:sz="4" w:space="0"/>
              <w:right w:val="single" w:color="auto" w:sz="4" w:space="0"/>
            </w:tcBorders>
            <w:shd w:val="clear" w:color="auto" w:fill="auto"/>
            <w:noWrap/>
            <w:vAlign w:val="center"/>
          </w:tcPr>
          <w:p w14:paraId="12A9C3D6">
            <w:pPr>
              <w:widowControl/>
              <w:jc w:val="center"/>
              <w:rPr>
                <w:rFonts w:ascii="Times New Roman" w:hAnsi="Times New Roman" w:eastAsia="宋体" w:cs="Times New Roman"/>
                <w:b/>
                <w:bCs/>
                <w:kern w:val="0"/>
                <w:sz w:val="20"/>
                <w:szCs w:val="20"/>
              </w:rPr>
            </w:pPr>
            <w:r>
              <w:rPr>
                <w:rFonts w:ascii="Times New Roman" w:hAnsi="Times New Roman" w:eastAsia="宋体" w:cs="Times New Roman"/>
                <w:b/>
                <w:bCs/>
                <w:kern w:val="0"/>
                <w:sz w:val="20"/>
                <w:szCs w:val="20"/>
              </w:rPr>
              <w:t>　</w:t>
            </w:r>
          </w:p>
        </w:tc>
        <w:tc>
          <w:tcPr>
            <w:tcW w:w="1687" w:type="pct"/>
            <w:tcBorders>
              <w:top w:val="nil"/>
              <w:left w:val="nil"/>
              <w:bottom w:val="single" w:color="auto" w:sz="4" w:space="0"/>
              <w:right w:val="single" w:color="auto" w:sz="4" w:space="0"/>
            </w:tcBorders>
            <w:shd w:val="clear" w:color="auto" w:fill="auto"/>
            <w:noWrap/>
            <w:vAlign w:val="center"/>
          </w:tcPr>
          <w:p w14:paraId="15CAAC1B">
            <w:pPr>
              <w:widowControl/>
              <w:jc w:val="left"/>
              <w:rPr>
                <w:rFonts w:hint="eastAsia" w:ascii="宋体" w:hAnsi="宋体" w:eastAsia="宋体" w:cs="宋体"/>
                <w:b/>
                <w:bCs/>
                <w:kern w:val="0"/>
                <w:sz w:val="20"/>
                <w:szCs w:val="20"/>
              </w:rPr>
            </w:pPr>
            <w:r>
              <w:rPr>
                <w:rFonts w:hint="eastAsia" w:ascii="宋体" w:hAnsi="宋体" w:eastAsia="宋体" w:cs="宋体"/>
                <w:b/>
                <w:bCs/>
                <w:kern w:val="0"/>
                <w:sz w:val="20"/>
                <w:szCs w:val="20"/>
              </w:rPr>
              <w:t>　</w:t>
            </w:r>
          </w:p>
        </w:tc>
        <w:tc>
          <w:tcPr>
            <w:tcW w:w="1665" w:type="pct"/>
            <w:tcBorders>
              <w:top w:val="nil"/>
              <w:left w:val="nil"/>
              <w:bottom w:val="single" w:color="auto" w:sz="4" w:space="0"/>
              <w:right w:val="single" w:color="auto" w:sz="4" w:space="0"/>
            </w:tcBorders>
            <w:shd w:val="clear" w:color="auto" w:fill="auto"/>
            <w:noWrap/>
            <w:vAlign w:val="center"/>
          </w:tcPr>
          <w:p w14:paraId="1B39469A">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　</w:t>
            </w:r>
          </w:p>
        </w:tc>
        <w:tc>
          <w:tcPr>
            <w:tcW w:w="410" w:type="pct"/>
            <w:tcBorders>
              <w:top w:val="nil"/>
              <w:left w:val="nil"/>
              <w:bottom w:val="single" w:color="auto" w:sz="4" w:space="0"/>
              <w:right w:val="single" w:color="auto" w:sz="4" w:space="0"/>
            </w:tcBorders>
            <w:shd w:val="clear" w:color="auto" w:fill="auto"/>
            <w:vAlign w:val="center"/>
          </w:tcPr>
          <w:p w14:paraId="7F563DA9">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　</w:t>
            </w:r>
          </w:p>
        </w:tc>
        <w:tc>
          <w:tcPr>
            <w:tcW w:w="738" w:type="pct"/>
            <w:tcBorders>
              <w:top w:val="nil"/>
              <w:left w:val="nil"/>
              <w:bottom w:val="single" w:color="auto" w:sz="4" w:space="0"/>
              <w:right w:val="single" w:color="auto" w:sz="4" w:space="0"/>
            </w:tcBorders>
            <w:shd w:val="clear" w:color="auto" w:fill="auto"/>
            <w:noWrap/>
            <w:vAlign w:val="center"/>
          </w:tcPr>
          <w:p w14:paraId="2A8873AF">
            <w:pPr>
              <w:widowControl/>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t>　</w:t>
            </w:r>
          </w:p>
        </w:tc>
        <w:tc>
          <w:tcPr>
            <w:tcW w:w="130" w:type="pct"/>
            <w:vAlign w:val="center"/>
          </w:tcPr>
          <w:p w14:paraId="4FCABAA5">
            <w:pPr>
              <w:widowControl/>
              <w:jc w:val="left"/>
              <w:rPr>
                <w:rFonts w:ascii="Times New Roman" w:hAnsi="Times New Roman" w:eastAsia="Times New Roman" w:cs="Times New Roman"/>
                <w:kern w:val="0"/>
                <w:sz w:val="20"/>
                <w:szCs w:val="20"/>
              </w:rPr>
            </w:pPr>
          </w:p>
        </w:tc>
      </w:tr>
      <w:tr w14:paraId="2FE4F6CF">
        <w:tblPrEx>
          <w:tblCellMar>
            <w:top w:w="0" w:type="dxa"/>
            <w:left w:w="108" w:type="dxa"/>
            <w:bottom w:w="0" w:type="dxa"/>
            <w:right w:w="108" w:type="dxa"/>
          </w:tblCellMar>
        </w:tblPrEx>
        <w:trPr>
          <w:trHeight w:val="500" w:hRule="atLeast"/>
        </w:trPr>
        <w:tc>
          <w:tcPr>
            <w:tcW w:w="370" w:type="pct"/>
            <w:tcBorders>
              <w:top w:val="nil"/>
              <w:left w:val="single" w:color="auto" w:sz="4" w:space="0"/>
              <w:bottom w:val="single" w:color="auto" w:sz="4" w:space="0"/>
              <w:right w:val="single" w:color="auto" w:sz="4" w:space="0"/>
            </w:tcBorders>
            <w:shd w:val="clear" w:color="auto" w:fill="auto"/>
            <w:noWrap/>
            <w:vAlign w:val="center"/>
          </w:tcPr>
          <w:p w14:paraId="21D0EA76">
            <w:pPr>
              <w:widowControl/>
              <w:jc w:val="left"/>
              <w:rPr>
                <w:rFonts w:ascii="Times New Roman" w:hAnsi="Times New Roman" w:eastAsia="宋体" w:cs="Times New Roman"/>
                <w:b/>
                <w:bCs/>
                <w:kern w:val="0"/>
                <w:sz w:val="20"/>
                <w:szCs w:val="20"/>
              </w:rPr>
            </w:pPr>
            <w:r>
              <w:rPr>
                <w:rFonts w:ascii="Times New Roman" w:hAnsi="Times New Roman" w:eastAsia="宋体" w:cs="Times New Roman"/>
                <w:b/>
                <w:bCs/>
                <w:kern w:val="0"/>
                <w:sz w:val="20"/>
                <w:szCs w:val="20"/>
              </w:rPr>
              <w:t>　</w:t>
            </w:r>
          </w:p>
        </w:tc>
        <w:tc>
          <w:tcPr>
            <w:tcW w:w="1687" w:type="pct"/>
            <w:tcBorders>
              <w:top w:val="nil"/>
              <w:left w:val="nil"/>
              <w:bottom w:val="single" w:color="auto" w:sz="4" w:space="0"/>
              <w:right w:val="single" w:color="auto" w:sz="4" w:space="0"/>
            </w:tcBorders>
            <w:shd w:val="clear" w:color="auto" w:fill="auto"/>
            <w:noWrap/>
            <w:vAlign w:val="center"/>
          </w:tcPr>
          <w:p w14:paraId="66BF79B2">
            <w:pPr>
              <w:widowControl/>
              <w:jc w:val="center"/>
              <w:rPr>
                <w:rFonts w:ascii="Times New Roman" w:hAnsi="Times New Roman" w:eastAsia="宋体" w:cs="Times New Roman"/>
                <w:b/>
                <w:bCs/>
                <w:kern w:val="0"/>
                <w:sz w:val="20"/>
                <w:szCs w:val="20"/>
              </w:rPr>
            </w:pPr>
            <w:r>
              <w:rPr>
                <w:rFonts w:hint="eastAsia" w:ascii="宋体" w:hAnsi="宋体" w:eastAsia="宋体" w:cs="Times New Roman"/>
                <w:b/>
                <w:bCs/>
                <w:kern w:val="0"/>
                <w:sz w:val="20"/>
                <w:szCs w:val="20"/>
              </w:rPr>
              <w:t>合</w:t>
            </w:r>
            <w:r>
              <w:rPr>
                <w:rFonts w:ascii="Times New Roman" w:hAnsi="Times New Roman" w:eastAsia="宋体" w:cs="Times New Roman"/>
                <w:b/>
                <w:bCs/>
                <w:kern w:val="0"/>
                <w:sz w:val="20"/>
                <w:szCs w:val="20"/>
              </w:rPr>
              <w:t xml:space="preserve">    </w:t>
            </w:r>
            <w:r>
              <w:rPr>
                <w:rFonts w:hint="eastAsia" w:ascii="宋体" w:hAnsi="宋体" w:eastAsia="宋体" w:cs="Times New Roman"/>
                <w:b/>
                <w:bCs/>
                <w:kern w:val="0"/>
                <w:sz w:val="20"/>
                <w:szCs w:val="20"/>
              </w:rPr>
              <w:t>计</w:t>
            </w:r>
          </w:p>
        </w:tc>
        <w:tc>
          <w:tcPr>
            <w:tcW w:w="1665" w:type="pct"/>
            <w:tcBorders>
              <w:top w:val="nil"/>
              <w:left w:val="nil"/>
              <w:bottom w:val="single" w:color="auto" w:sz="4" w:space="0"/>
              <w:right w:val="single" w:color="auto" w:sz="4" w:space="0"/>
            </w:tcBorders>
            <w:shd w:val="clear" w:color="auto" w:fill="auto"/>
            <w:noWrap/>
            <w:vAlign w:val="center"/>
          </w:tcPr>
          <w:p w14:paraId="5AAC90C8">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　</w:t>
            </w:r>
          </w:p>
        </w:tc>
        <w:tc>
          <w:tcPr>
            <w:tcW w:w="410" w:type="pct"/>
            <w:tcBorders>
              <w:top w:val="nil"/>
              <w:left w:val="nil"/>
              <w:bottom w:val="single" w:color="auto" w:sz="4" w:space="0"/>
              <w:right w:val="single" w:color="auto" w:sz="4" w:space="0"/>
            </w:tcBorders>
            <w:shd w:val="clear" w:color="auto" w:fill="auto"/>
            <w:noWrap/>
            <w:vAlign w:val="center"/>
          </w:tcPr>
          <w:p w14:paraId="293B30CF">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t>　</w:t>
            </w:r>
          </w:p>
        </w:tc>
        <w:tc>
          <w:tcPr>
            <w:tcW w:w="738" w:type="pct"/>
            <w:tcBorders>
              <w:top w:val="nil"/>
              <w:left w:val="nil"/>
              <w:bottom w:val="single" w:color="auto" w:sz="4" w:space="0"/>
              <w:right w:val="single" w:color="auto" w:sz="4" w:space="0"/>
            </w:tcBorders>
            <w:shd w:val="clear" w:color="auto" w:fill="auto"/>
            <w:noWrap/>
            <w:vAlign w:val="center"/>
          </w:tcPr>
          <w:p w14:paraId="5ECC3B1B">
            <w:pPr>
              <w:widowControl/>
              <w:jc w:val="center"/>
              <w:rPr>
                <w:rFonts w:ascii="Times New Roman" w:hAnsi="Times New Roman" w:eastAsia="宋体" w:cs="Times New Roman"/>
                <w:b/>
                <w:bCs/>
                <w:kern w:val="0"/>
                <w:sz w:val="20"/>
                <w:szCs w:val="20"/>
              </w:rPr>
            </w:pPr>
            <w:r>
              <w:rPr>
                <w:rFonts w:ascii="Times New Roman" w:hAnsi="Times New Roman" w:eastAsia="宋体" w:cs="Times New Roman"/>
                <w:b/>
                <w:bCs/>
                <w:kern w:val="0"/>
                <w:sz w:val="20"/>
                <w:szCs w:val="20"/>
              </w:rPr>
              <w:t>91120</w:t>
            </w:r>
          </w:p>
        </w:tc>
        <w:tc>
          <w:tcPr>
            <w:tcW w:w="130" w:type="pct"/>
            <w:vAlign w:val="center"/>
          </w:tcPr>
          <w:p w14:paraId="5C0466B4">
            <w:pPr>
              <w:widowControl/>
              <w:jc w:val="left"/>
              <w:rPr>
                <w:rFonts w:ascii="Times New Roman" w:hAnsi="Times New Roman" w:eastAsia="Times New Roman" w:cs="Times New Roman"/>
                <w:kern w:val="0"/>
                <w:sz w:val="20"/>
                <w:szCs w:val="20"/>
              </w:rPr>
            </w:pPr>
          </w:p>
        </w:tc>
      </w:tr>
    </w:tbl>
    <w:p w14:paraId="7DDD40DB">
      <w:pPr>
        <w:pStyle w:val="45"/>
      </w:pPr>
    </w:p>
    <w:p w14:paraId="2C0E13B6">
      <w:pPr>
        <w:widowControl/>
        <w:jc w:val="left"/>
        <w:rPr>
          <w:rFonts w:ascii="仿宋_GB2312"/>
          <w:szCs w:val="28"/>
        </w:rPr>
      </w:pPr>
      <w:r>
        <w:br w:type="page"/>
      </w:r>
    </w:p>
    <w:p w14:paraId="3316F43A">
      <w:pPr>
        <w:pStyle w:val="3"/>
        <w:spacing w:before="0" w:after="0" w:line="360" w:lineRule="auto"/>
        <w:rPr>
          <w:rFonts w:hint="eastAsia" w:ascii="宋体" w:hAnsi="宋体" w:eastAsia="宋体"/>
          <w:sz w:val="28"/>
          <w:szCs w:val="28"/>
        </w:rPr>
      </w:pPr>
      <w:bookmarkStart w:id="451" w:name="_Toc175233421"/>
      <w:r>
        <w:rPr>
          <w:rFonts w:hint="eastAsia" w:ascii="宋体" w:hAnsi="宋体" w:eastAsia="宋体"/>
          <w:sz w:val="28"/>
          <w:szCs w:val="28"/>
        </w:rPr>
        <w:t>临时工程概算表</w:t>
      </w:r>
      <w:bookmarkEnd w:id="451"/>
    </w:p>
    <w:tbl>
      <w:tblPr>
        <w:tblStyle w:val="36"/>
        <w:tblW w:w="5000" w:type="pct"/>
        <w:tblInd w:w="0" w:type="dxa"/>
        <w:tblLayout w:type="autofit"/>
        <w:tblCellMar>
          <w:top w:w="0" w:type="dxa"/>
          <w:left w:w="108" w:type="dxa"/>
          <w:bottom w:w="0" w:type="dxa"/>
          <w:right w:w="108" w:type="dxa"/>
        </w:tblCellMar>
      </w:tblPr>
      <w:tblGrid>
        <w:gridCol w:w="656"/>
        <w:gridCol w:w="1096"/>
        <w:gridCol w:w="2825"/>
        <w:gridCol w:w="656"/>
        <w:gridCol w:w="656"/>
        <w:gridCol w:w="1316"/>
        <w:gridCol w:w="1317"/>
      </w:tblGrid>
      <w:tr w14:paraId="48D9730D">
        <w:trPr>
          <w:trHeight w:val="500" w:hRule="atLeast"/>
        </w:trPr>
        <w:tc>
          <w:tcPr>
            <w:tcW w:w="415"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2A41703">
            <w:pPr>
              <w:widowControl/>
              <w:jc w:val="center"/>
              <w:rPr>
                <w:rFonts w:hint="eastAsia" w:ascii="宋体" w:hAnsi="宋体" w:eastAsia="宋体" w:cs="宋体"/>
                <w:kern w:val="0"/>
                <w:sz w:val="22"/>
                <w:szCs w:val="22"/>
              </w:rPr>
            </w:pPr>
            <w:r>
              <w:rPr>
                <w:rFonts w:hint="eastAsia" w:ascii="宋体" w:hAnsi="宋体" w:eastAsia="宋体" w:cs="宋体"/>
                <w:kern w:val="0"/>
                <w:sz w:val="22"/>
                <w:szCs w:val="22"/>
              </w:rPr>
              <w:t>序号</w:t>
            </w:r>
          </w:p>
        </w:tc>
        <w:tc>
          <w:tcPr>
            <w:tcW w:w="460" w:type="pct"/>
            <w:tcBorders>
              <w:top w:val="single" w:color="auto" w:sz="4" w:space="0"/>
              <w:left w:val="nil"/>
              <w:bottom w:val="single" w:color="auto" w:sz="4" w:space="0"/>
              <w:right w:val="single" w:color="auto" w:sz="4" w:space="0"/>
            </w:tcBorders>
            <w:shd w:val="clear" w:color="auto" w:fill="auto"/>
            <w:noWrap/>
            <w:vAlign w:val="center"/>
          </w:tcPr>
          <w:p w14:paraId="3C137B92">
            <w:pPr>
              <w:widowControl/>
              <w:jc w:val="center"/>
              <w:rPr>
                <w:rFonts w:hint="eastAsia" w:ascii="宋体" w:hAnsi="宋体" w:eastAsia="宋体" w:cs="宋体"/>
                <w:kern w:val="0"/>
                <w:sz w:val="22"/>
                <w:szCs w:val="22"/>
              </w:rPr>
            </w:pPr>
            <w:r>
              <w:rPr>
                <w:rFonts w:hint="eastAsia" w:ascii="宋体" w:hAnsi="宋体" w:eastAsia="宋体" w:cs="宋体"/>
                <w:kern w:val="0"/>
                <w:sz w:val="22"/>
                <w:szCs w:val="22"/>
              </w:rPr>
              <w:t>定额编号</w:t>
            </w:r>
          </w:p>
        </w:tc>
        <w:tc>
          <w:tcPr>
            <w:tcW w:w="1904" w:type="pct"/>
            <w:tcBorders>
              <w:top w:val="single" w:color="auto" w:sz="4" w:space="0"/>
              <w:left w:val="nil"/>
              <w:bottom w:val="single" w:color="auto" w:sz="4" w:space="0"/>
              <w:right w:val="single" w:color="auto" w:sz="4" w:space="0"/>
            </w:tcBorders>
            <w:shd w:val="clear" w:color="auto" w:fill="auto"/>
            <w:noWrap/>
            <w:vAlign w:val="center"/>
          </w:tcPr>
          <w:p w14:paraId="527873B1">
            <w:pPr>
              <w:widowControl/>
              <w:jc w:val="center"/>
              <w:rPr>
                <w:rFonts w:hint="eastAsia" w:ascii="宋体" w:hAnsi="宋体" w:eastAsia="宋体" w:cs="宋体"/>
                <w:kern w:val="0"/>
                <w:sz w:val="22"/>
                <w:szCs w:val="22"/>
              </w:rPr>
            </w:pPr>
            <w:r>
              <w:rPr>
                <w:rFonts w:hint="eastAsia" w:ascii="宋体" w:hAnsi="宋体" w:eastAsia="宋体" w:cs="宋体"/>
                <w:kern w:val="0"/>
                <w:sz w:val="22"/>
                <w:szCs w:val="22"/>
              </w:rPr>
              <w:t>工程或费用名称</w:t>
            </w:r>
          </w:p>
        </w:tc>
        <w:tc>
          <w:tcPr>
            <w:tcW w:w="379" w:type="pct"/>
            <w:tcBorders>
              <w:top w:val="single" w:color="auto" w:sz="4" w:space="0"/>
              <w:left w:val="nil"/>
              <w:bottom w:val="single" w:color="auto" w:sz="4" w:space="0"/>
              <w:right w:val="single" w:color="auto" w:sz="4" w:space="0"/>
            </w:tcBorders>
            <w:shd w:val="clear" w:color="auto" w:fill="auto"/>
            <w:noWrap/>
            <w:vAlign w:val="center"/>
          </w:tcPr>
          <w:p w14:paraId="71FB3D77">
            <w:pPr>
              <w:widowControl/>
              <w:jc w:val="center"/>
              <w:rPr>
                <w:rFonts w:hint="eastAsia" w:ascii="宋体" w:hAnsi="宋体" w:eastAsia="宋体" w:cs="宋体"/>
                <w:kern w:val="0"/>
                <w:sz w:val="22"/>
                <w:szCs w:val="22"/>
              </w:rPr>
            </w:pPr>
            <w:r>
              <w:rPr>
                <w:rFonts w:hint="eastAsia" w:ascii="宋体" w:hAnsi="宋体" w:eastAsia="宋体" w:cs="宋体"/>
                <w:kern w:val="0"/>
                <w:sz w:val="22"/>
                <w:szCs w:val="22"/>
              </w:rPr>
              <w:t>单位</w:t>
            </w:r>
          </w:p>
        </w:tc>
        <w:tc>
          <w:tcPr>
            <w:tcW w:w="460" w:type="pct"/>
            <w:tcBorders>
              <w:top w:val="single" w:color="auto" w:sz="4" w:space="0"/>
              <w:left w:val="nil"/>
              <w:bottom w:val="single" w:color="auto" w:sz="4" w:space="0"/>
              <w:right w:val="single" w:color="auto" w:sz="4" w:space="0"/>
            </w:tcBorders>
            <w:shd w:val="clear" w:color="auto" w:fill="auto"/>
            <w:noWrap/>
            <w:vAlign w:val="center"/>
          </w:tcPr>
          <w:p w14:paraId="4E71FB36">
            <w:pPr>
              <w:widowControl/>
              <w:jc w:val="center"/>
              <w:rPr>
                <w:rFonts w:hint="eastAsia" w:ascii="宋体" w:hAnsi="宋体" w:eastAsia="宋体" w:cs="宋体"/>
                <w:kern w:val="0"/>
                <w:sz w:val="22"/>
                <w:szCs w:val="22"/>
              </w:rPr>
            </w:pPr>
            <w:r>
              <w:rPr>
                <w:rFonts w:hint="eastAsia" w:ascii="宋体" w:hAnsi="宋体" w:eastAsia="宋体" w:cs="宋体"/>
                <w:kern w:val="0"/>
                <w:sz w:val="22"/>
                <w:szCs w:val="22"/>
              </w:rPr>
              <w:t>数量</w:t>
            </w:r>
          </w:p>
        </w:tc>
        <w:tc>
          <w:tcPr>
            <w:tcW w:w="713" w:type="pct"/>
            <w:tcBorders>
              <w:top w:val="single" w:color="auto" w:sz="4" w:space="0"/>
              <w:left w:val="nil"/>
              <w:bottom w:val="single" w:color="auto" w:sz="4" w:space="0"/>
              <w:right w:val="single" w:color="auto" w:sz="4" w:space="0"/>
            </w:tcBorders>
            <w:shd w:val="clear" w:color="auto" w:fill="auto"/>
            <w:noWrap/>
            <w:vAlign w:val="center"/>
          </w:tcPr>
          <w:p w14:paraId="05BF1F90">
            <w:pPr>
              <w:widowControl/>
              <w:jc w:val="center"/>
              <w:rPr>
                <w:rFonts w:hint="eastAsia" w:ascii="宋体" w:hAnsi="宋体" w:eastAsia="宋体" w:cs="宋体"/>
                <w:kern w:val="0"/>
                <w:sz w:val="22"/>
                <w:szCs w:val="22"/>
              </w:rPr>
            </w:pPr>
            <w:r>
              <w:rPr>
                <w:rFonts w:hint="eastAsia" w:ascii="宋体" w:hAnsi="宋体" w:eastAsia="宋体" w:cs="宋体"/>
                <w:kern w:val="0"/>
                <w:sz w:val="22"/>
                <w:szCs w:val="22"/>
              </w:rPr>
              <w:t>单价（元）</w:t>
            </w:r>
          </w:p>
        </w:tc>
        <w:tc>
          <w:tcPr>
            <w:tcW w:w="668" w:type="pct"/>
            <w:tcBorders>
              <w:top w:val="single" w:color="auto" w:sz="4" w:space="0"/>
              <w:left w:val="nil"/>
              <w:bottom w:val="single" w:color="auto" w:sz="4" w:space="0"/>
              <w:right w:val="single" w:color="auto" w:sz="4" w:space="0"/>
            </w:tcBorders>
            <w:shd w:val="clear" w:color="auto" w:fill="auto"/>
            <w:noWrap/>
            <w:vAlign w:val="center"/>
          </w:tcPr>
          <w:p w14:paraId="102A7BBB">
            <w:pPr>
              <w:widowControl/>
              <w:jc w:val="center"/>
              <w:rPr>
                <w:rFonts w:hint="eastAsia" w:ascii="宋体" w:hAnsi="宋体" w:eastAsia="宋体" w:cs="宋体"/>
                <w:kern w:val="0"/>
                <w:sz w:val="22"/>
                <w:szCs w:val="22"/>
              </w:rPr>
            </w:pPr>
            <w:r>
              <w:rPr>
                <w:rFonts w:hint="eastAsia" w:ascii="宋体" w:hAnsi="宋体" w:eastAsia="宋体" w:cs="宋体"/>
                <w:kern w:val="0"/>
                <w:sz w:val="22"/>
                <w:szCs w:val="22"/>
              </w:rPr>
              <w:t>合计（元）</w:t>
            </w:r>
          </w:p>
        </w:tc>
      </w:tr>
      <w:tr w14:paraId="3932CDF4">
        <w:tblPrEx>
          <w:tblCellMar>
            <w:top w:w="0" w:type="dxa"/>
            <w:left w:w="108" w:type="dxa"/>
            <w:bottom w:w="0" w:type="dxa"/>
            <w:right w:w="108" w:type="dxa"/>
          </w:tblCellMar>
        </w:tblPrEx>
        <w:trPr>
          <w:trHeight w:val="500" w:hRule="atLeast"/>
        </w:trPr>
        <w:tc>
          <w:tcPr>
            <w:tcW w:w="415" w:type="pct"/>
            <w:tcBorders>
              <w:top w:val="nil"/>
              <w:left w:val="single" w:color="auto" w:sz="4" w:space="0"/>
              <w:bottom w:val="single" w:color="auto" w:sz="4" w:space="0"/>
              <w:right w:val="single" w:color="auto" w:sz="4" w:space="0"/>
            </w:tcBorders>
            <w:shd w:val="clear" w:color="auto" w:fill="auto"/>
            <w:noWrap/>
            <w:vAlign w:val="center"/>
          </w:tcPr>
          <w:p w14:paraId="591F8373">
            <w:pPr>
              <w:widowControl/>
              <w:jc w:val="center"/>
              <w:rPr>
                <w:rFonts w:hint="eastAsia" w:ascii="宋体" w:hAnsi="宋体" w:eastAsia="宋体" w:cs="宋体"/>
                <w:kern w:val="0"/>
                <w:sz w:val="22"/>
                <w:szCs w:val="22"/>
              </w:rPr>
            </w:pPr>
            <w:r>
              <w:rPr>
                <w:rFonts w:hint="eastAsia" w:ascii="宋体" w:hAnsi="宋体" w:eastAsia="宋体" w:cs="宋体"/>
                <w:kern w:val="0"/>
                <w:sz w:val="22"/>
                <w:szCs w:val="22"/>
              </w:rPr>
              <w:t>　</w:t>
            </w:r>
          </w:p>
        </w:tc>
        <w:tc>
          <w:tcPr>
            <w:tcW w:w="460" w:type="pct"/>
            <w:tcBorders>
              <w:top w:val="nil"/>
              <w:left w:val="nil"/>
              <w:bottom w:val="single" w:color="auto" w:sz="4" w:space="0"/>
              <w:right w:val="single" w:color="auto" w:sz="4" w:space="0"/>
            </w:tcBorders>
            <w:shd w:val="clear" w:color="auto" w:fill="auto"/>
            <w:noWrap/>
            <w:vAlign w:val="center"/>
          </w:tcPr>
          <w:p w14:paraId="2902C8CB">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　</w:t>
            </w:r>
          </w:p>
        </w:tc>
        <w:tc>
          <w:tcPr>
            <w:tcW w:w="1904" w:type="pct"/>
            <w:tcBorders>
              <w:top w:val="nil"/>
              <w:left w:val="nil"/>
              <w:bottom w:val="single" w:color="auto" w:sz="4" w:space="0"/>
              <w:right w:val="single" w:color="auto" w:sz="4" w:space="0"/>
            </w:tcBorders>
            <w:shd w:val="clear" w:color="auto" w:fill="auto"/>
            <w:vAlign w:val="center"/>
          </w:tcPr>
          <w:p w14:paraId="6ADDCA71">
            <w:pPr>
              <w:widowControl/>
              <w:jc w:val="center"/>
              <w:rPr>
                <w:rFonts w:hint="eastAsia" w:ascii="宋体" w:hAnsi="宋体" w:eastAsia="宋体" w:cs="宋体"/>
                <w:b/>
                <w:bCs/>
                <w:kern w:val="0"/>
                <w:sz w:val="22"/>
                <w:szCs w:val="22"/>
              </w:rPr>
            </w:pPr>
            <w:r>
              <w:rPr>
                <w:rFonts w:hint="eastAsia" w:ascii="宋体" w:hAnsi="宋体" w:eastAsia="宋体" w:cs="宋体"/>
                <w:b/>
                <w:bCs/>
                <w:kern w:val="0"/>
                <w:sz w:val="22"/>
                <w:szCs w:val="22"/>
              </w:rPr>
              <w:t>临时工程</w:t>
            </w:r>
          </w:p>
        </w:tc>
        <w:tc>
          <w:tcPr>
            <w:tcW w:w="379" w:type="pct"/>
            <w:tcBorders>
              <w:top w:val="nil"/>
              <w:left w:val="nil"/>
              <w:bottom w:val="single" w:color="auto" w:sz="4" w:space="0"/>
              <w:right w:val="single" w:color="auto" w:sz="4" w:space="0"/>
            </w:tcBorders>
            <w:shd w:val="clear" w:color="auto" w:fill="auto"/>
            <w:noWrap/>
            <w:vAlign w:val="center"/>
          </w:tcPr>
          <w:p w14:paraId="59AC41D1">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　</w:t>
            </w:r>
          </w:p>
        </w:tc>
        <w:tc>
          <w:tcPr>
            <w:tcW w:w="460" w:type="pct"/>
            <w:tcBorders>
              <w:top w:val="nil"/>
              <w:left w:val="nil"/>
              <w:bottom w:val="single" w:color="auto" w:sz="4" w:space="0"/>
              <w:right w:val="single" w:color="auto" w:sz="4" w:space="0"/>
            </w:tcBorders>
            <w:shd w:val="clear" w:color="auto" w:fill="auto"/>
            <w:noWrap/>
            <w:vAlign w:val="center"/>
          </w:tcPr>
          <w:p w14:paraId="4065D700">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　</w:t>
            </w:r>
          </w:p>
        </w:tc>
        <w:tc>
          <w:tcPr>
            <w:tcW w:w="713" w:type="pct"/>
            <w:tcBorders>
              <w:top w:val="nil"/>
              <w:left w:val="nil"/>
              <w:bottom w:val="single" w:color="auto" w:sz="4" w:space="0"/>
              <w:right w:val="single" w:color="auto" w:sz="4" w:space="0"/>
            </w:tcBorders>
            <w:shd w:val="clear" w:color="auto" w:fill="auto"/>
            <w:noWrap/>
            <w:vAlign w:val="center"/>
          </w:tcPr>
          <w:p w14:paraId="1DF6004E">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668" w:type="pct"/>
            <w:tcBorders>
              <w:top w:val="nil"/>
              <w:left w:val="nil"/>
              <w:bottom w:val="single" w:color="auto" w:sz="4" w:space="0"/>
              <w:right w:val="single" w:color="auto" w:sz="4" w:space="0"/>
            </w:tcBorders>
            <w:shd w:val="clear" w:color="auto" w:fill="auto"/>
            <w:noWrap/>
            <w:vAlign w:val="center"/>
          </w:tcPr>
          <w:p w14:paraId="017679FF">
            <w:pPr>
              <w:widowControl/>
              <w:jc w:val="right"/>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xml:space="preserve">9497 </w:t>
            </w:r>
          </w:p>
        </w:tc>
      </w:tr>
      <w:tr w14:paraId="328314EF">
        <w:tblPrEx>
          <w:tblCellMar>
            <w:top w:w="0" w:type="dxa"/>
            <w:left w:w="108" w:type="dxa"/>
            <w:bottom w:w="0" w:type="dxa"/>
            <w:right w:w="108" w:type="dxa"/>
          </w:tblCellMar>
        </w:tblPrEx>
        <w:trPr>
          <w:trHeight w:val="500" w:hRule="atLeast"/>
        </w:trPr>
        <w:tc>
          <w:tcPr>
            <w:tcW w:w="415" w:type="pct"/>
            <w:tcBorders>
              <w:top w:val="nil"/>
              <w:left w:val="single" w:color="auto" w:sz="4" w:space="0"/>
              <w:bottom w:val="single" w:color="auto" w:sz="4" w:space="0"/>
              <w:right w:val="single" w:color="auto" w:sz="4" w:space="0"/>
            </w:tcBorders>
            <w:shd w:val="clear" w:color="auto" w:fill="auto"/>
            <w:noWrap/>
            <w:vAlign w:val="center"/>
          </w:tcPr>
          <w:p w14:paraId="6D13EAD2">
            <w:pPr>
              <w:widowControl/>
              <w:jc w:val="center"/>
              <w:rPr>
                <w:rFonts w:hint="eastAsia" w:ascii="宋体" w:hAnsi="宋体" w:eastAsia="宋体" w:cs="宋体"/>
                <w:b/>
                <w:bCs/>
                <w:kern w:val="0"/>
                <w:sz w:val="22"/>
                <w:szCs w:val="22"/>
              </w:rPr>
            </w:pPr>
            <w:r>
              <w:rPr>
                <w:rFonts w:hint="eastAsia" w:ascii="宋体" w:hAnsi="宋体" w:eastAsia="宋体" w:cs="宋体"/>
                <w:b/>
                <w:bCs/>
                <w:kern w:val="0"/>
                <w:sz w:val="22"/>
                <w:szCs w:val="22"/>
              </w:rPr>
              <w:t>一</w:t>
            </w:r>
          </w:p>
        </w:tc>
        <w:tc>
          <w:tcPr>
            <w:tcW w:w="460" w:type="pct"/>
            <w:tcBorders>
              <w:top w:val="nil"/>
              <w:left w:val="nil"/>
              <w:bottom w:val="single" w:color="auto" w:sz="4" w:space="0"/>
              <w:right w:val="single" w:color="auto" w:sz="4" w:space="0"/>
            </w:tcBorders>
            <w:shd w:val="clear" w:color="auto" w:fill="auto"/>
            <w:noWrap/>
            <w:vAlign w:val="center"/>
          </w:tcPr>
          <w:p w14:paraId="30247626">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w:t>
            </w:r>
          </w:p>
        </w:tc>
        <w:tc>
          <w:tcPr>
            <w:tcW w:w="1904" w:type="pct"/>
            <w:tcBorders>
              <w:top w:val="nil"/>
              <w:left w:val="nil"/>
              <w:bottom w:val="single" w:color="auto" w:sz="4" w:space="0"/>
              <w:right w:val="single" w:color="auto" w:sz="4" w:space="0"/>
            </w:tcBorders>
            <w:shd w:val="clear" w:color="auto" w:fill="auto"/>
            <w:noWrap/>
            <w:vAlign w:val="center"/>
          </w:tcPr>
          <w:p w14:paraId="01D54D06">
            <w:pPr>
              <w:widowControl/>
              <w:jc w:val="center"/>
              <w:rPr>
                <w:rFonts w:hint="eastAsia" w:ascii="宋体" w:hAnsi="宋体" w:eastAsia="宋体" w:cs="宋体"/>
                <w:b/>
                <w:bCs/>
                <w:kern w:val="0"/>
                <w:sz w:val="22"/>
                <w:szCs w:val="22"/>
              </w:rPr>
            </w:pPr>
            <w:r>
              <w:rPr>
                <w:rFonts w:hint="eastAsia" w:ascii="宋体" w:hAnsi="宋体" w:eastAsia="宋体" w:cs="宋体"/>
                <w:b/>
                <w:bCs/>
                <w:kern w:val="0"/>
                <w:sz w:val="22"/>
                <w:szCs w:val="22"/>
              </w:rPr>
              <w:t>其他施工临时工程</w:t>
            </w:r>
          </w:p>
        </w:tc>
        <w:tc>
          <w:tcPr>
            <w:tcW w:w="379" w:type="pct"/>
            <w:tcBorders>
              <w:top w:val="nil"/>
              <w:left w:val="nil"/>
              <w:bottom w:val="single" w:color="auto" w:sz="4" w:space="0"/>
              <w:right w:val="single" w:color="auto" w:sz="4" w:space="0"/>
            </w:tcBorders>
            <w:shd w:val="clear" w:color="auto" w:fill="auto"/>
            <w:noWrap/>
            <w:vAlign w:val="center"/>
          </w:tcPr>
          <w:p w14:paraId="6EF8A203">
            <w:pPr>
              <w:widowControl/>
              <w:jc w:val="center"/>
              <w:rPr>
                <w:rFonts w:hint="eastAsia" w:ascii="宋体" w:hAnsi="宋体" w:eastAsia="宋体" w:cs="宋体"/>
                <w:b/>
                <w:bCs/>
                <w:kern w:val="0"/>
                <w:sz w:val="22"/>
                <w:szCs w:val="22"/>
              </w:rPr>
            </w:pPr>
            <w:r>
              <w:rPr>
                <w:rFonts w:hint="eastAsia" w:ascii="宋体" w:hAnsi="宋体" w:eastAsia="宋体" w:cs="宋体"/>
                <w:b/>
                <w:bCs/>
                <w:kern w:val="0"/>
                <w:sz w:val="22"/>
                <w:szCs w:val="22"/>
              </w:rPr>
              <w:t>项</w:t>
            </w:r>
          </w:p>
        </w:tc>
        <w:tc>
          <w:tcPr>
            <w:tcW w:w="460" w:type="pct"/>
            <w:tcBorders>
              <w:top w:val="nil"/>
              <w:left w:val="nil"/>
              <w:bottom w:val="single" w:color="auto" w:sz="4" w:space="0"/>
              <w:right w:val="single" w:color="auto" w:sz="4" w:space="0"/>
            </w:tcBorders>
            <w:shd w:val="clear" w:color="auto" w:fill="auto"/>
            <w:noWrap/>
            <w:vAlign w:val="center"/>
          </w:tcPr>
          <w:p w14:paraId="536C4E31">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xml:space="preserve">1 </w:t>
            </w:r>
          </w:p>
        </w:tc>
        <w:tc>
          <w:tcPr>
            <w:tcW w:w="713" w:type="pct"/>
            <w:tcBorders>
              <w:top w:val="nil"/>
              <w:left w:val="nil"/>
              <w:bottom w:val="single" w:color="auto" w:sz="4" w:space="0"/>
              <w:right w:val="single" w:color="auto" w:sz="4" w:space="0"/>
            </w:tcBorders>
            <w:shd w:val="clear" w:color="auto" w:fill="auto"/>
            <w:noWrap/>
            <w:vAlign w:val="center"/>
          </w:tcPr>
          <w:p w14:paraId="7D009D5E">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xml:space="preserve">9497 </w:t>
            </w:r>
          </w:p>
        </w:tc>
        <w:tc>
          <w:tcPr>
            <w:tcW w:w="668" w:type="pct"/>
            <w:tcBorders>
              <w:top w:val="nil"/>
              <w:left w:val="nil"/>
              <w:bottom w:val="single" w:color="auto" w:sz="4" w:space="0"/>
              <w:right w:val="single" w:color="auto" w:sz="4" w:space="0"/>
            </w:tcBorders>
            <w:shd w:val="clear" w:color="auto" w:fill="auto"/>
            <w:noWrap/>
            <w:vAlign w:val="center"/>
          </w:tcPr>
          <w:p w14:paraId="1BA20ABF">
            <w:pPr>
              <w:widowControl/>
              <w:jc w:val="right"/>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 xml:space="preserve">9497 </w:t>
            </w:r>
          </w:p>
        </w:tc>
      </w:tr>
      <w:bookmarkEnd w:id="448"/>
    </w:tbl>
    <w:p w14:paraId="69C6DC9A">
      <w:pPr>
        <w:widowControl/>
        <w:jc w:val="left"/>
        <w:rPr>
          <w:rFonts w:ascii="Times New Roman" w:hAnsi="Times New Roman" w:eastAsia="宋体" w:cs="Times New Roman"/>
          <w:kern w:val="0"/>
          <w:sz w:val="20"/>
          <w:szCs w:val="20"/>
        </w:rPr>
      </w:pPr>
    </w:p>
    <w:p w14:paraId="0D0A009A">
      <w:pPr>
        <w:widowControl/>
        <w:jc w:val="left"/>
        <w:rPr>
          <w:rFonts w:ascii="Times New Roman" w:hAnsi="Times New Roman" w:eastAsia="宋体" w:cs="Times New Roman"/>
          <w:kern w:val="0"/>
          <w:sz w:val="20"/>
          <w:szCs w:val="20"/>
        </w:rPr>
      </w:pPr>
    </w:p>
    <w:p w14:paraId="53C5C2B3">
      <w:pPr>
        <w:widowControl/>
        <w:jc w:val="left"/>
        <w:rPr>
          <w:rFonts w:ascii="Times New Roman" w:hAnsi="Times New Roman" w:eastAsia="宋体" w:cs="Times New Roman"/>
          <w:kern w:val="0"/>
          <w:sz w:val="20"/>
          <w:szCs w:val="20"/>
        </w:rPr>
      </w:pPr>
      <w:r>
        <w:rPr>
          <w:rFonts w:ascii="Times New Roman" w:hAnsi="Times New Roman" w:eastAsia="宋体" w:cs="Times New Roman"/>
          <w:kern w:val="0"/>
          <w:sz w:val="20"/>
          <w:szCs w:val="20"/>
        </w:rPr>
        <w:br w:type="page"/>
      </w:r>
    </w:p>
    <w:p w14:paraId="64CB340D">
      <w:pPr>
        <w:pStyle w:val="3"/>
        <w:spacing w:before="0" w:after="0" w:line="360" w:lineRule="auto"/>
        <w:rPr>
          <w:rFonts w:hint="eastAsia" w:ascii="宋体" w:hAnsi="宋体" w:eastAsia="宋体"/>
          <w:sz w:val="28"/>
          <w:szCs w:val="28"/>
        </w:rPr>
      </w:pPr>
      <w:bookmarkStart w:id="452" w:name="_Toc175233422"/>
      <w:r>
        <w:rPr>
          <w:rFonts w:hint="eastAsia" w:ascii="宋体" w:hAnsi="宋体" w:eastAsia="宋体"/>
          <w:sz w:val="28"/>
          <w:szCs w:val="28"/>
        </w:rPr>
        <w:t>安装点位图</w:t>
      </w:r>
      <w:bookmarkEnd w:id="452"/>
    </w:p>
    <w:p w14:paraId="6298CD8F">
      <w:pPr>
        <w:pStyle w:val="44"/>
        <w:numPr>
          <w:ilvl w:val="0"/>
          <w:numId w:val="46"/>
        </w:numPr>
        <w:spacing w:line="360" w:lineRule="auto"/>
        <w:ind w:firstLineChars="0"/>
        <w:rPr>
          <w:rFonts w:hint="eastAsia" w:ascii="宋体" w:hAnsi="宋体" w:eastAsia="宋体" w:cs="Arial"/>
          <w:color w:val="333333"/>
          <w:sz w:val="24"/>
          <w:shd w:val="clear" w:color="auto" w:fill="FFFFFF"/>
        </w:rPr>
      </w:pPr>
      <w:r>
        <w:rPr>
          <w:rFonts w:hint="eastAsia" w:ascii="宋体" w:hAnsi="宋体" w:eastAsia="宋体" w:cs="Arial"/>
          <w:color w:val="333333"/>
          <w:sz w:val="24"/>
          <w:shd w:val="clear" w:color="auto" w:fill="FFFFFF"/>
        </w:rPr>
        <w:t>湟中区上五庄镇拉寺目水源地</w:t>
      </w:r>
    </w:p>
    <w:p w14:paraId="1B12C3F0">
      <w:pPr>
        <w:pStyle w:val="44"/>
        <w:spacing w:line="360" w:lineRule="auto"/>
        <w:ind w:firstLine="0" w:firstLineChars="0"/>
        <w:rPr>
          <w:rFonts w:hint="eastAsia" w:ascii="宋体" w:hAnsi="宋体" w:eastAsia="宋体" w:cs="Arial"/>
          <w:color w:val="333333"/>
          <w:sz w:val="24"/>
          <w:shd w:val="clear" w:color="auto" w:fill="FFFFFF"/>
        </w:rPr>
      </w:pPr>
      <w:r>
        <w:drawing>
          <wp:inline distT="0" distB="0" distL="114300" distR="114300">
            <wp:extent cx="5271770" cy="4464050"/>
            <wp:effectExtent l="0" t="0" r="11430" b="635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46"/>
                    <a:stretch>
                      <a:fillRect/>
                    </a:stretch>
                  </pic:blipFill>
                  <pic:spPr>
                    <a:xfrm>
                      <a:off x="0" y="0"/>
                      <a:ext cx="5271770" cy="4464050"/>
                    </a:xfrm>
                    <a:prstGeom prst="rect">
                      <a:avLst/>
                    </a:prstGeom>
                    <a:noFill/>
                    <a:ln>
                      <a:noFill/>
                    </a:ln>
                  </pic:spPr>
                </pic:pic>
              </a:graphicData>
            </a:graphic>
          </wp:inline>
        </w:drawing>
      </w:r>
    </w:p>
    <w:p w14:paraId="39F391A0">
      <w:pPr>
        <w:pStyle w:val="44"/>
        <w:spacing w:line="360" w:lineRule="auto"/>
        <w:ind w:left="480" w:firstLine="0" w:firstLineChars="0"/>
        <w:rPr>
          <w:rFonts w:hint="eastAsia" w:ascii="宋体" w:hAnsi="宋体" w:eastAsia="宋体" w:cs="Arial"/>
          <w:color w:val="333333"/>
          <w:sz w:val="24"/>
          <w:shd w:val="clear" w:color="auto" w:fill="FFFFFF"/>
        </w:rPr>
      </w:pPr>
    </w:p>
    <w:p w14:paraId="50266CE2">
      <w:pPr>
        <w:pStyle w:val="44"/>
        <w:numPr>
          <w:ilvl w:val="0"/>
          <w:numId w:val="46"/>
        </w:numPr>
        <w:spacing w:line="360" w:lineRule="auto"/>
        <w:ind w:firstLineChars="0"/>
        <w:rPr>
          <w:rFonts w:hint="eastAsia" w:ascii="宋体" w:hAnsi="宋体" w:eastAsia="宋体" w:cs="Arial"/>
          <w:color w:val="333333"/>
          <w:sz w:val="24"/>
          <w:shd w:val="clear" w:color="auto" w:fill="FFFFFF"/>
        </w:rPr>
      </w:pPr>
      <w:r>
        <w:rPr>
          <w:rFonts w:hint="eastAsia" w:ascii="宋体" w:hAnsi="宋体" w:eastAsia="宋体" w:cs="Arial"/>
          <w:color w:val="333333"/>
          <w:sz w:val="24"/>
          <w:shd w:val="clear" w:color="auto" w:fill="FFFFFF"/>
        </w:rPr>
        <w:t>湟中区李家山镇香林峡水源地</w:t>
      </w:r>
    </w:p>
    <w:p w14:paraId="6D2BF80F">
      <w:pPr>
        <w:pStyle w:val="44"/>
        <w:spacing w:line="360" w:lineRule="auto"/>
        <w:ind w:firstLine="0" w:firstLineChars="0"/>
        <w:rPr>
          <w:rFonts w:hint="eastAsia" w:ascii="宋体" w:hAnsi="宋体" w:eastAsia="宋体" w:cs="Arial"/>
          <w:color w:val="333333"/>
          <w:sz w:val="24"/>
          <w:shd w:val="clear" w:color="auto" w:fill="FFFFFF"/>
        </w:rPr>
      </w:pPr>
      <w:r>
        <w:drawing>
          <wp:inline distT="0" distB="0" distL="114300" distR="114300">
            <wp:extent cx="5269230" cy="5294630"/>
            <wp:effectExtent l="0" t="0" r="1270" b="127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47"/>
                    <a:stretch>
                      <a:fillRect/>
                    </a:stretch>
                  </pic:blipFill>
                  <pic:spPr>
                    <a:xfrm>
                      <a:off x="0" y="0"/>
                      <a:ext cx="5269230" cy="5294630"/>
                    </a:xfrm>
                    <a:prstGeom prst="rect">
                      <a:avLst/>
                    </a:prstGeom>
                    <a:noFill/>
                    <a:ln>
                      <a:noFill/>
                    </a:ln>
                  </pic:spPr>
                </pic:pic>
              </a:graphicData>
            </a:graphic>
          </wp:inline>
        </w:drawing>
      </w:r>
    </w:p>
    <w:p w14:paraId="4AD84F1C">
      <w:pPr>
        <w:pStyle w:val="44"/>
        <w:numPr>
          <w:ilvl w:val="0"/>
          <w:numId w:val="46"/>
        </w:numPr>
        <w:spacing w:line="360" w:lineRule="auto"/>
        <w:ind w:firstLineChars="0"/>
        <w:rPr>
          <w:rFonts w:hint="eastAsia" w:ascii="宋体" w:hAnsi="宋体" w:eastAsia="宋体" w:cs="Arial"/>
          <w:color w:val="333333"/>
          <w:sz w:val="24"/>
          <w:shd w:val="clear" w:color="auto" w:fill="FFFFFF"/>
        </w:rPr>
      </w:pPr>
      <w:r>
        <w:rPr>
          <w:rFonts w:hint="eastAsia" w:ascii="宋体" w:hAnsi="宋体" w:eastAsia="宋体" w:cs="Arial"/>
          <w:color w:val="333333"/>
          <w:sz w:val="24"/>
          <w:shd w:val="clear" w:color="auto" w:fill="FFFFFF"/>
        </w:rPr>
        <w:t>湟中区云谷川水库水源地</w:t>
      </w:r>
    </w:p>
    <w:p w14:paraId="675FC228">
      <w:pPr>
        <w:pStyle w:val="44"/>
        <w:spacing w:line="360" w:lineRule="auto"/>
        <w:ind w:firstLine="0" w:firstLineChars="0"/>
        <w:rPr>
          <w:rFonts w:hint="eastAsia" w:ascii="宋体" w:hAnsi="宋体" w:eastAsia="宋体" w:cs="Arial"/>
          <w:color w:val="333333"/>
          <w:sz w:val="24"/>
          <w:shd w:val="clear" w:color="auto" w:fill="FFFFFF"/>
        </w:rPr>
      </w:pPr>
      <w:r>
        <w:drawing>
          <wp:inline distT="0" distB="0" distL="114300" distR="114300">
            <wp:extent cx="5271770" cy="3752215"/>
            <wp:effectExtent l="0" t="0" r="11430" b="698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48"/>
                    <a:stretch>
                      <a:fillRect/>
                    </a:stretch>
                  </pic:blipFill>
                  <pic:spPr>
                    <a:xfrm>
                      <a:off x="0" y="0"/>
                      <a:ext cx="5271770" cy="3752215"/>
                    </a:xfrm>
                    <a:prstGeom prst="rect">
                      <a:avLst/>
                    </a:prstGeom>
                    <a:noFill/>
                    <a:ln>
                      <a:noFill/>
                    </a:ln>
                  </pic:spPr>
                </pic:pic>
              </a:graphicData>
            </a:graphic>
          </wp:inline>
        </w:drawing>
      </w:r>
    </w:p>
    <w:p w14:paraId="5FA86254">
      <w:pPr>
        <w:pStyle w:val="44"/>
        <w:numPr>
          <w:ilvl w:val="0"/>
          <w:numId w:val="46"/>
        </w:numPr>
        <w:spacing w:line="360" w:lineRule="auto"/>
        <w:ind w:firstLineChars="0"/>
        <w:rPr>
          <w:rFonts w:hint="eastAsia" w:ascii="宋体" w:hAnsi="宋体" w:eastAsia="宋体" w:cs="Arial"/>
          <w:color w:val="333333"/>
          <w:sz w:val="24"/>
          <w:shd w:val="clear" w:color="auto" w:fill="FFFFFF"/>
        </w:rPr>
      </w:pPr>
      <w:r>
        <w:rPr>
          <w:rFonts w:hint="eastAsia" w:ascii="宋体" w:hAnsi="宋体" w:eastAsia="宋体" w:cs="Arial"/>
          <w:color w:val="333333"/>
          <w:sz w:val="24"/>
          <w:shd w:val="clear" w:color="auto" w:fill="FFFFFF"/>
        </w:rPr>
        <w:t>湟中区李家山镇九眼泉水源地（备用水源）</w:t>
      </w:r>
    </w:p>
    <w:p w14:paraId="59D11CA3">
      <w:pPr>
        <w:pStyle w:val="44"/>
        <w:spacing w:line="360" w:lineRule="auto"/>
        <w:ind w:left="-142" w:firstLine="0" w:firstLineChars="0"/>
        <w:rPr>
          <w:rFonts w:hint="eastAsia" w:ascii="宋体" w:hAnsi="宋体" w:eastAsia="宋体" w:cs="Arial"/>
          <w:color w:val="333333"/>
          <w:sz w:val="24"/>
          <w:shd w:val="clear" w:color="auto" w:fill="FFFFFF"/>
        </w:rPr>
      </w:pPr>
      <w:r>
        <w:drawing>
          <wp:inline distT="0" distB="0" distL="114300" distR="114300">
            <wp:extent cx="5270500" cy="4485005"/>
            <wp:effectExtent l="0" t="0" r="0" b="1079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49"/>
                    <a:stretch>
                      <a:fillRect/>
                    </a:stretch>
                  </pic:blipFill>
                  <pic:spPr>
                    <a:xfrm>
                      <a:off x="0" y="0"/>
                      <a:ext cx="5270500" cy="4485005"/>
                    </a:xfrm>
                    <a:prstGeom prst="rect">
                      <a:avLst/>
                    </a:prstGeom>
                    <a:noFill/>
                    <a:ln>
                      <a:noFill/>
                    </a:ln>
                  </pic:spPr>
                </pic:pic>
              </a:graphicData>
            </a:graphic>
          </wp:inline>
        </w:drawing>
      </w:r>
    </w:p>
    <w:p w14:paraId="4644772D">
      <w:pPr>
        <w:pStyle w:val="44"/>
        <w:numPr>
          <w:ilvl w:val="0"/>
          <w:numId w:val="46"/>
        </w:numPr>
        <w:spacing w:line="360" w:lineRule="auto"/>
        <w:ind w:firstLineChars="0"/>
        <w:rPr>
          <w:rFonts w:hint="eastAsia" w:ascii="宋体" w:hAnsi="宋体" w:eastAsia="宋体" w:cs="Arial"/>
          <w:color w:val="333333"/>
          <w:sz w:val="24"/>
          <w:shd w:val="clear" w:color="auto" w:fill="FFFFFF"/>
        </w:rPr>
      </w:pPr>
      <w:r>
        <w:rPr>
          <w:rFonts w:hint="eastAsia" w:ascii="宋体" w:hAnsi="宋体" w:eastAsia="宋体" w:cs="Arial"/>
          <w:color w:val="333333"/>
          <w:sz w:val="24"/>
          <w:shd w:val="clear" w:color="auto" w:fill="FFFFFF"/>
        </w:rPr>
        <w:t>湟中区田家寨镇流水沟水源地</w:t>
      </w:r>
    </w:p>
    <w:p w14:paraId="4B9CCAA5">
      <w:pPr>
        <w:pStyle w:val="44"/>
        <w:spacing w:line="360" w:lineRule="auto"/>
        <w:ind w:firstLine="0" w:firstLineChars="0"/>
        <w:rPr>
          <w:rFonts w:hint="eastAsia" w:ascii="宋体" w:hAnsi="宋体" w:eastAsia="宋体" w:cs="Arial"/>
          <w:color w:val="333333"/>
          <w:sz w:val="24"/>
          <w:shd w:val="clear" w:color="auto" w:fill="FFFFFF"/>
        </w:rPr>
      </w:pPr>
      <w:r>
        <w:drawing>
          <wp:inline distT="0" distB="0" distL="114300" distR="114300">
            <wp:extent cx="5270500" cy="4384675"/>
            <wp:effectExtent l="0" t="0" r="0" b="952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50"/>
                    <a:stretch>
                      <a:fillRect/>
                    </a:stretch>
                  </pic:blipFill>
                  <pic:spPr>
                    <a:xfrm>
                      <a:off x="0" y="0"/>
                      <a:ext cx="5270500" cy="4384675"/>
                    </a:xfrm>
                    <a:prstGeom prst="rect">
                      <a:avLst/>
                    </a:prstGeom>
                    <a:noFill/>
                    <a:ln>
                      <a:noFill/>
                    </a:ln>
                  </pic:spPr>
                </pic:pic>
              </a:graphicData>
            </a:graphic>
          </wp:inline>
        </w:drawing>
      </w:r>
    </w:p>
    <w:p w14:paraId="5916F8DA">
      <w:pPr>
        <w:pStyle w:val="44"/>
        <w:numPr>
          <w:ilvl w:val="0"/>
          <w:numId w:val="46"/>
        </w:numPr>
        <w:spacing w:line="360" w:lineRule="auto"/>
        <w:ind w:firstLineChars="0"/>
        <w:rPr>
          <w:rFonts w:hint="eastAsia" w:ascii="宋体" w:hAnsi="宋体" w:eastAsia="宋体" w:cs="Arial"/>
          <w:color w:val="333333"/>
          <w:sz w:val="24"/>
          <w:shd w:val="clear" w:color="auto" w:fill="FFFFFF"/>
        </w:rPr>
      </w:pPr>
      <w:r>
        <w:rPr>
          <w:rFonts w:hint="eastAsia" w:ascii="宋体" w:hAnsi="宋体" w:eastAsia="宋体" w:cs="Arial"/>
          <w:color w:val="333333"/>
          <w:sz w:val="24"/>
          <w:shd w:val="clear" w:color="auto" w:fill="FFFFFF"/>
        </w:rPr>
        <w:t>湟中区小南川水库水源地</w:t>
      </w:r>
    </w:p>
    <w:p w14:paraId="6155A606">
      <w:pPr>
        <w:pStyle w:val="44"/>
        <w:spacing w:line="360" w:lineRule="auto"/>
        <w:ind w:firstLine="0" w:firstLineChars="0"/>
        <w:rPr>
          <w:rFonts w:hint="eastAsia" w:ascii="宋体" w:hAnsi="宋体" w:eastAsia="宋体" w:cs="Arial"/>
          <w:color w:val="333333"/>
          <w:sz w:val="24"/>
          <w:shd w:val="clear" w:color="auto" w:fill="FFFFFF"/>
        </w:rPr>
      </w:pPr>
      <w:r>
        <w:drawing>
          <wp:inline distT="0" distB="0" distL="114300" distR="114300">
            <wp:extent cx="5272405" cy="3252470"/>
            <wp:effectExtent l="0" t="0" r="10795" b="11430"/>
            <wp:docPr id="533919727" name="图片 533919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919727" name="图片 533919727"/>
                    <pic:cNvPicPr>
                      <a:picLocks noChangeAspect="1"/>
                    </pic:cNvPicPr>
                  </pic:nvPicPr>
                  <pic:blipFill>
                    <a:blip r:embed="rId51"/>
                    <a:stretch>
                      <a:fillRect/>
                    </a:stretch>
                  </pic:blipFill>
                  <pic:spPr>
                    <a:xfrm>
                      <a:off x="0" y="0"/>
                      <a:ext cx="5272405" cy="3252470"/>
                    </a:xfrm>
                    <a:prstGeom prst="rect">
                      <a:avLst/>
                    </a:prstGeom>
                    <a:noFill/>
                    <a:ln>
                      <a:noFill/>
                    </a:ln>
                  </pic:spPr>
                </pic:pic>
              </a:graphicData>
            </a:graphic>
          </wp:inline>
        </w:drawing>
      </w:r>
    </w:p>
    <w:p w14:paraId="2DCF246C">
      <w:pPr>
        <w:pStyle w:val="44"/>
        <w:numPr>
          <w:ilvl w:val="0"/>
          <w:numId w:val="46"/>
        </w:numPr>
        <w:spacing w:line="360" w:lineRule="auto"/>
        <w:ind w:firstLineChars="0"/>
        <w:rPr>
          <w:rFonts w:hint="eastAsia" w:ascii="宋体" w:hAnsi="宋体" w:eastAsia="宋体" w:cs="Arial"/>
          <w:color w:val="333333"/>
          <w:sz w:val="24"/>
          <w:shd w:val="clear" w:color="auto" w:fill="FFFFFF"/>
        </w:rPr>
      </w:pPr>
      <w:r>
        <w:rPr>
          <w:rFonts w:hint="eastAsia" w:ascii="宋体" w:hAnsi="宋体" w:eastAsia="宋体" w:cs="Arial"/>
          <w:color w:val="333333"/>
          <w:sz w:val="24"/>
          <w:shd w:val="clear" w:color="auto" w:fill="FFFFFF"/>
        </w:rPr>
        <w:t>湟中区土门关乡香沟水库水源地</w:t>
      </w:r>
    </w:p>
    <w:p w14:paraId="7EB520D1">
      <w:pPr>
        <w:pStyle w:val="44"/>
        <w:spacing w:line="360" w:lineRule="auto"/>
        <w:ind w:firstLine="0" w:firstLineChars="0"/>
        <w:rPr>
          <w:rFonts w:hint="eastAsia" w:ascii="宋体" w:hAnsi="宋体" w:eastAsia="宋体" w:cs="Arial"/>
          <w:color w:val="333333"/>
          <w:sz w:val="24"/>
          <w:shd w:val="clear" w:color="auto" w:fill="FFFFFF"/>
        </w:rPr>
      </w:pPr>
      <w:r>
        <w:drawing>
          <wp:inline distT="0" distB="0" distL="114300" distR="114300">
            <wp:extent cx="5270500" cy="3397885"/>
            <wp:effectExtent l="0" t="0" r="0" b="571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52"/>
                    <a:stretch>
                      <a:fillRect/>
                    </a:stretch>
                  </pic:blipFill>
                  <pic:spPr>
                    <a:xfrm>
                      <a:off x="0" y="0"/>
                      <a:ext cx="5270500" cy="3397885"/>
                    </a:xfrm>
                    <a:prstGeom prst="rect">
                      <a:avLst/>
                    </a:prstGeom>
                    <a:noFill/>
                    <a:ln>
                      <a:noFill/>
                    </a:ln>
                  </pic:spPr>
                </pic:pic>
              </a:graphicData>
            </a:graphic>
          </wp:inline>
        </w:drawing>
      </w:r>
    </w:p>
    <w:p w14:paraId="05B8ED1D">
      <w:pPr>
        <w:pStyle w:val="44"/>
        <w:numPr>
          <w:ilvl w:val="0"/>
          <w:numId w:val="46"/>
        </w:numPr>
        <w:spacing w:line="360" w:lineRule="auto"/>
        <w:ind w:firstLineChars="0"/>
        <w:rPr>
          <w:rFonts w:hint="eastAsia" w:ascii="宋体" w:hAnsi="宋体" w:eastAsia="宋体" w:cs="Arial"/>
          <w:color w:val="333333"/>
          <w:sz w:val="24"/>
          <w:shd w:val="clear" w:color="auto" w:fill="FFFFFF"/>
        </w:rPr>
      </w:pPr>
      <w:r>
        <w:rPr>
          <w:rFonts w:hint="eastAsia" w:ascii="宋体" w:hAnsi="宋体" w:eastAsia="宋体" w:cs="Arial"/>
          <w:color w:val="333333"/>
          <w:sz w:val="24"/>
          <w:shd w:val="clear" w:color="auto" w:fill="FFFFFF"/>
        </w:rPr>
        <w:t>湟中区田家寨镇安宁沟水源地</w:t>
      </w:r>
    </w:p>
    <w:p w14:paraId="226D1654">
      <w:pPr>
        <w:pStyle w:val="44"/>
        <w:spacing w:line="360" w:lineRule="auto"/>
        <w:ind w:firstLine="0" w:firstLineChars="0"/>
        <w:rPr>
          <w:rFonts w:hint="eastAsia" w:ascii="宋体" w:hAnsi="宋体" w:eastAsia="宋体" w:cs="Arial"/>
          <w:color w:val="333333"/>
          <w:sz w:val="24"/>
          <w:shd w:val="clear" w:color="auto" w:fill="FFFFFF"/>
        </w:rPr>
      </w:pPr>
      <w:r>
        <w:drawing>
          <wp:inline distT="0" distB="0" distL="114300" distR="114300">
            <wp:extent cx="5273675" cy="4347210"/>
            <wp:effectExtent l="0" t="0" r="9525" b="889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53"/>
                    <a:stretch>
                      <a:fillRect/>
                    </a:stretch>
                  </pic:blipFill>
                  <pic:spPr>
                    <a:xfrm>
                      <a:off x="0" y="0"/>
                      <a:ext cx="5273675" cy="4347210"/>
                    </a:xfrm>
                    <a:prstGeom prst="rect">
                      <a:avLst/>
                    </a:prstGeom>
                    <a:noFill/>
                    <a:ln>
                      <a:noFill/>
                    </a:ln>
                  </pic:spPr>
                </pic:pic>
              </a:graphicData>
            </a:graphic>
          </wp:inline>
        </w:drawing>
      </w:r>
    </w:p>
    <w:p w14:paraId="4DFE4F1C">
      <w:pPr>
        <w:pStyle w:val="44"/>
        <w:numPr>
          <w:ilvl w:val="0"/>
          <w:numId w:val="46"/>
        </w:numPr>
        <w:spacing w:line="360" w:lineRule="auto"/>
        <w:ind w:firstLineChars="0"/>
        <w:rPr>
          <w:rFonts w:hint="eastAsia" w:ascii="宋体" w:hAnsi="宋体" w:eastAsia="宋体" w:cs="Arial"/>
          <w:color w:val="333333"/>
          <w:sz w:val="24"/>
          <w:shd w:val="clear" w:color="auto" w:fill="FFFFFF"/>
        </w:rPr>
      </w:pPr>
      <w:r>
        <w:rPr>
          <w:rFonts w:hint="eastAsia" w:ascii="宋体" w:hAnsi="宋体" w:eastAsia="宋体" w:cs="Arial"/>
          <w:color w:val="333333"/>
          <w:sz w:val="24"/>
          <w:shd w:val="clear" w:color="auto" w:fill="FFFFFF"/>
        </w:rPr>
        <w:t>湟中区共和镇盘道东岔水源地</w:t>
      </w:r>
    </w:p>
    <w:p w14:paraId="302DC0A9">
      <w:pPr>
        <w:pStyle w:val="44"/>
        <w:spacing w:line="360" w:lineRule="auto"/>
        <w:ind w:firstLine="0" w:firstLineChars="0"/>
        <w:rPr>
          <w:rFonts w:hint="eastAsia" w:ascii="宋体" w:hAnsi="宋体" w:eastAsia="宋体" w:cs="Arial"/>
          <w:color w:val="333333"/>
          <w:sz w:val="24"/>
          <w:shd w:val="clear" w:color="auto" w:fill="FFFFFF"/>
        </w:rPr>
      </w:pPr>
      <w:r>
        <w:drawing>
          <wp:inline distT="0" distB="0" distL="114300" distR="114300">
            <wp:extent cx="5273040" cy="3894455"/>
            <wp:effectExtent l="0" t="0" r="10160" b="444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54"/>
                    <a:stretch>
                      <a:fillRect/>
                    </a:stretch>
                  </pic:blipFill>
                  <pic:spPr>
                    <a:xfrm>
                      <a:off x="0" y="0"/>
                      <a:ext cx="5273040" cy="3894455"/>
                    </a:xfrm>
                    <a:prstGeom prst="rect">
                      <a:avLst/>
                    </a:prstGeom>
                    <a:noFill/>
                    <a:ln>
                      <a:noFill/>
                    </a:ln>
                  </pic:spPr>
                </pic:pic>
              </a:graphicData>
            </a:graphic>
          </wp:inline>
        </w:drawing>
      </w:r>
    </w:p>
    <w:p w14:paraId="6644E4EA">
      <w:pPr>
        <w:pStyle w:val="44"/>
        <w:numPr>
          <w:ilvl w:val="0"/>
          <w:numId w:val="46"/>
        </w:numPr>
        <w:spacing w:line="360" w:lineRule="auto"/>
        <w:ind w:firstLineChars="0"/>
        <w:rPr>
          <w:rFonts w:hint="eastAsia" w:ascii="宋体" w:hAnsi="宋体" w:eastAsia="宋体" w:cs="Arial"/>
          <w:color w:val="333333"/>
          <w:sz w:val="24"/>
          <w:shd w:val="clear" w:color="auto" w:fill="FFFFFF"/>
        </w:rPr>
      </w:pPr>
      <w:r>
        <w:rPr>
          <w:rFonts w:hint="eastAsia" w:ascii="宋体" w:hAnsi="宋体" w:eastAsia="宋体" w:cs="Arial"/>
          <w:color w:val="333333"/>
          <w:sz w:val="24"/>
          <w:shd w:val="clear" w:color="auto" w:fill="FFFFFF"/>
        </w:rPr>
        <w:t>湟中区南朔山水源地</w:t>
      </w:r>
    </w:p>
    <w:p w14:paraId="7C0ED6D2">
      <w:pPr>
        <w:pStyle w:val="44"/>
        <w:spacing w:line="360" w:lineRule="auto"/>
        <w:ind w:firstLine="0" w:firstLineChars="0"/>
        <w:rPr>
          <w:rFonts w:hint="eastAsia" w:ascii="宋体" w:hAnsi="宋体" w:eastAsia="宋体" w:cs="Arial"/>
          <w:color w:val="333333"/>
          <w:sz w:val="24"/>
          <w:shd w:val="clear" w:color="auto" w:fill="FFFFFF"/>
        </w:rPr>
      </w:pPr>
      <w:r>
        <w:drawing>
          <wp:inline distT="0" distB="0" distL="114300" distR="114300">
            <wp:extent cx="5271135" cy="4985385"/>
            <wp:effectExtent l="0" t="0" r="12065" b="571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55"/>
                    <a:stretch>
                      <a:fillRect/>
                    </a:stretch>
                  </pic:blipFill>
                  <pic:spPr>
                    <a:xfrm>
                      <a:off x="0" y="0"/>
                      <a:ext cx="5271135" cy="4985385"/>
                    </a:xfrm>
                    <a:prstGeom prst="rect">
                      <a:avLst/>
                    </a:prstGeom>
                    <a:noFill/>
                    <a:ln>
                      <a:noFill/>
                    </a:ln>
                  </pic:spPr>
                </pic:pic>
              </a:graphicData>
            </a:graphic>
          </wp:inline>
        </w:drawing>
      </w:r>
    </w:p>
    <w:p w14:paraId="6054331E">
      <w:pPr>
        <w:pStyle w:val="44"/>
        <w:numPr>
          <w:ilvl w:val="0"/>
          <w:numId w:val="46"/>
        </w:numPr>
        <w:spacing w:line="360" w:lineRule="auto"/>
        <w:ind w:firstLineChars="0"/>
        <w:rPr>
          <w:rFonts w:hint="eastAsia" w:ascii="宋体" w:hAnsi="宋体" w:eastAsia="宋体" w:cs="Arial"/>
          <w:color w:val="333333"/>
          <w:sz w:val="24"/>
          <w:shd w:val="clear" w:color="auto" w:fill="FFFFFF"/>
        </w:rPr>
      </w:pPr>
      <w:r>
        <w:rPr>
          <w:rFonts w:hint="eastAsia" w:ascii="宋体" w:hAnsi="宋体" w:eastAsia="宋体" w:cs="Arial"/>
          <w:color w:val="333333"/>
          <w:sz w:val="24"/>
          <w:shd w:val="clear" w:color="auto" w:fill="FFFFFF"/>
        </w:rPr>
        <w:t>湟中区拉尔贯水源地</w:t>
      </w:r>
    </w:p>
    <w:p w14:paraId="1939F76B">
      <w:pPr>
        <w:pStyle w:val="44"/>
        <w:spacing w:line="360" w:lineRule="auto"/>
        <w:ind w:firstLine="0" w:firstLineChars="0"/>
        <w:rPr>
          <w:rFonts w:hint="eastAsia" w:ascii="宋体" w:hAnsi="宋体" w:eastAsia="宋体" w:cs="Arial"/>
          <w:color w:val="333333"/>
          <w:sz w:val="24"/>
          <w:shd w:val="clear" w:color="auto" w:fill="FFFFFF"/>
        </w:rPr>
      </w:pPr>
      <w:r>
        <w:drawing>
          <wp:inline distT="0" distB="0" distL="114300" distR="114300">
            <wp:extent cx="5272405" cy="4243705"/>
            <wp:effectExtent l="0" t="0" r="10795" b="10795"/>
            <wp:docPr id="841747793" name="图片 841747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747793" name="图片 841747793"/>
                    <pic:cNvPicPr>
                      <a:picLocks noChangeAspect="1"/>
                    </pic:cNvPicPr>
                  </pic:nvPicPr>
                  <pic:blipFill>
                    <a:blip r:embed="rId56"/>
                    <a:stretch>
                      <a:fillRect/>
                    </a:stretch>
                  </pic:blipFill>
                  <pic:spPr>
                    <a:xfrm>
                      <a:off x="0" y="0"/>
                      <a:ext cx="5272405" cy="4243705"/>
                    </a:xfrm>
                    <a:prstGeom prst="rect">
                      <a:avLst/>
                    </a:prstGeom>
                    <a:noFill/>
                    <a:ln>
                      <a:noFill/>
                    </a:ln>
                  </pic:spPr>
                </pic:pic>
              </a:graphicData>
            </a:graphic>
          </wp:inline>
        </w:drawing>
      </w:r>
    </w:p>
    <w:p w14:paraId="5FD57E77">
      <w:pPr>
        <w:pStyle w:val="44"/>
        <w:numPr>
          <w:ilvl w:val="0"/>
          <w:numId w:val="46"/>
        </w:numPr>
        <w:spacing w:line="360" w:lineRule="auto"/>
        <w:ind w:firstLineChars="0"/>
        <w:rPr>
          <w:rFonts w:hint="eastAsia" w:ascii="宋体" w:hAnsi="宋体" w:eastAsia="宋体" w:cs="Arial"/>
          <w:color w:val="333333"/>
          <w:sz w:val="24"/>
          <w:shd w:val="clear" w:color="auto" w:fill="FFFFFF"/>
        </w:rPr>
      </w:pPr>
      <w:r>
        <w:rPr>
          <w:rFonts w:hint="eastAsia" w:ascii="宋体" w:hAnsi="宋体" w:eastAsia="宋体" w:cs="Arial"/>
          <w:color w:val="333333"/>
          <w:sz w:val="24"/>
          <w:shd w:val="clear" w:color="auto" w:fill="FFFFFF"/>
        </w:rPr>
        <w:t>湟中区盘道水库水源地</w:t>
      </w:r>
    </w:p>
    <w:p w14:paraId="1C6176B8">
      <w:pPr>
        <w:pStyle w:val="44"/>
        <w:spacing w:line="360" w:lineRule="auto"/>
        <w:ind w:firstLine="0" w:firstLineChars="0"/>
        <w:rPr>
          <w:rFonts w:hint="eastAsia" w:ascii="宋体" w:hAnsi="宋体" w:eastAsia="宋体" w:cs="Arial"/>
          <w:color w:val="333333"/>
          <w:sz w:val="24"/>
          <w:shd w:val="clear" w:color="auto" w:fill="FFFFFF"/>
        </w:rPr>
      </w:pPr>
      <w:r>
        <w:drawing>
          <wp:inline distT="0" distB="0" distL="114300" distR="114300">
            <wp:extent cx="5268595" cy="3955415"/>
            <wp:effectExtent l="0" t="0" r="1905" b="698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57"/>
                    <a:stretch>
                      <a:fillRect/>
                    </a:stretch>
                  </pic:blipFill>
                  <pic:spPr>
                    <a:xfrm>
                      <a:off x="0" y="0"/>
                      <a:ext cx="5268595" cy="3955415"/>
                    </a:xfrm>
                    <a:prstGeom prst="rect">
                      <a:avLst/>
                    </a:prstGeom>
                    <a:noFill/>
                    <a:ln>
                      <a:noFill/>
                    </a:ln>
                  </pic:spPr>
                </pic:pic>
              </a:graphicData>
            </a:graphic>
          </wp:inline>
        </w:drawing>
      </w:r>
    </w:p>
    <w:p w14:paraId="6214425D">
      <w:pPr>
        <w:pStyle w:val="44"/>
        <w:numPr>
          <w:ilvl w:val="0"/>
          <w:numId w:val="46"/>
        </w:numPr>
        <w:spacing w:line="360" w:lineRule="auto"/>
        <w:ind w:firstLineChars="0"/>
        <w:rPr>
          <w:rFonts w:hint="eastAsia" w:ascii="宋体" w:hAnsi="宋体" w:eastAsia="宋体" w:cs="Arial"/>
          <w:color w:val="333333"/>
          <w:sz w:val="24"/>
          <w:shd w:val="clear" w:color="auto" w:fill="FFFFFF"/>
        </w:rPr>
      </w:pPr>
      <w:r>
        <w:rPr>
          <w:rFonts w:hint="eastAsia" w:ascii="宋体" w:hAnsi="宋体" w:eastAsia="宋体" w:cs="Arial"/>
          <w:color w:val="333333"/>
          <w:sz w:val="24"/>
          <w:shd w:val="clear" w:color="auto" w:fill="FFFFFF"/>
        </w:rPr>
        <w:t>湟中区上新庄镇小马鸡沟（华山）水源地</w:t>
      </w:r>
    </w:p>
    <w:p w14:paraId="3E42DB9A">
      <w:pPr>
        <w:pStyle w:val="44"/>
        <w:spacing w:line="360" w:lineRule="auto"/>
        <w:ind w:firstLine="0" w:firstLineChars="0"/>
        <w:rPr>
          <w:rFonts w:hint="eastAsia" w:ascii="宋体" w:hAnsi="宋体" w:eastAsia="宋体" w:cs="Arial"/>
          <w:color w:val="333333"/>
          <w:sz w:val="24"/>
          <w:shd w:val="clear" w:color="auto" w:fill="FFFFFF"/>
        </w:rPr>
      </w:pPr>
      <w:r>
        <w:drawing>
          <wp:inline distT="0" distB="0" distL="114300" distR="114300">
            <wp:extent cx="5269230" cy="4626610"/>
            <wp:effectExtent l="0" t="0" r="1270" b="889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58"/>
                    <a:stretch>
                      <a:fillRect/>
                    </a:stretch>
                  </pic:blipFill>
                  <pic:spPr>
                    <a:xfrm>
                      <a:off x="0" y="0"/>
                      <a:ext cx="5269230" cy="4626610"/>
                    </a:xfrm>
                    <a:prstGeom prst="rect">
                      <a:avLst/>
                    </a:prstGeom>
                    <a:noFill/>
                    <a:ln>
                      <a:noFill/>
                    </a:ln>
                  </pic:spPr>
                </pic:pic>
              </a:graphicData>
            </a:graphic>
          </wp:inline>
        </w:drawing>
      </w:r>
    </w:p>
    <w:p w14:paraId="25EF796A">
      <w:pPr>
        <w:pStyle w:val="44"/>
        <w:numPr>
          <w:ilvl w:val="0"/>
          <w:numId w:val="46"/>
        </w:numPr>
        <w:spacing w:line="360" w:lineRule="auto"/>
        <w:ind w:firstLineChars="0"/>
        <w:rPr>
          <w:rFonts w:hint="eastAsia" w:ascii="宋体" w:hAnsi="宋体" w:eastAsia="宋体" w:cs="Arial"/>
          <w:color w:val="333333"/>
          <w:sz w:val="24"/>
          <w:shd w:val="clear" w:color="auto" w:fill="FFFFFF"/>
        </w:rPr>
      </w:pPr>
      <w:r>
        <w:rPr>
          <w:rFonts w:hint="eastAsia" w:ascii="宋体" w:hAnsi="宋体" w:eastAsia="宋体" w:cs="Arial"/>
          <w:color w:val="333333"/>
          <w:sz w:val="24"/>
          <w:shd w:val="clear" w:color="auto" w:fill="FFFFFF"/>
        </w:rPr>
        <w:t>湟中区上新庄镇加牙水源地</w:t>
      </w:r>
    </w:p>
    <w:p w14:paraId="6F11A282">
      <w:r>
        <w:drawing>
          <wp:inline distT="0" distB="0" distL="114300" distR="114300">
            <wp:extent cx="5270500" cy="4458335"/>
            <wp:effectExtent l="0" t="0" r="0" b="1206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59"/>
                    <a:stretch>
                      <a:fillRect/>
                    </a:stretch>
                  </pic:blipFill>
                  <pic:spPr>
                    <a:xfrm>
                      <a:off x="0" y="0"/>
                      <a:ext cx="5270500" cy="4458335"/>
                    </a:xfrm>
                    <a:prstGeom prst="rect">
                      <a:avLst/>
                    </a:prstGeom>
                    <a:noFill/>
                    <a:ln>
                      <a:noFill/>
                    </a:ln>
                  </pic:spPr>
                </pic:pic>
              </a:graphicData>
            </a:graphic>
          </wp:inline>
        </w:drawing>
      </w:r>
    </w:p>
    <w:p w14:paraId="3AEF9DF9">
      <w:pPr>
        <w:pStyle w:val="3"/>
        <w:sectPr>
          <w:pgSz w:w="11906" w:h="16838"/>
          <w:pgMar w:top="1440" w:right="1800" w:bottom="1440" w:left="1800" w:header="851" w:footer="992" w:gutter="0"/>
          <w:cols w:space="425" w:num="1"/>
          <w:docGrid w:type="lines" w:linePitch="312" w:charSpace="0"/>
        </w:sectPr>
      </w:pPr>
    </w:p>
    <w:p w14:paraId="5E989A66">
      <w:pPr>
        <w:pStyle w:val="3"/>
      </w:pPr>
      <w:bookmarkStart w:id="453" w:name="_Toc175233423"/>
      <w:r>
        <w:rPr>
          <w:rFonts w:hint="eastAsia"/>
        </w:rPr>
        <w:t>专家评审意见汇总</w:t>
      </w:r>
      <w:bookmarkEnd w:id="453"/>
    </w:p>
    <w:p w14:paraId="1F683231">
      <w:r>
        <w:rPr>
          <w:rFonts w:hint="eastAsia"/>
        </w:rPr>
        <w:drawing>
          <wp:inline distT="0" distB="0" distL="114300" distR="114300">
            <wp:extent cx="5267325" cy="7428865"/>
            <wp:effectExtent l="0" t="0" r="3175" b="635"/>
            <wp:docPr id="23" name="图片 23" descr="MX-2018UC_20240809_145816(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MX-2018UC_20240809_145816(1)_00"/>
                    <pic:cNvPicPr>
                      <a:picLocks noChangeAspect="1"/>
                    </pic:cNvPicPr>
                  </pic:nvPicPr>
                  <pic:blipFill>
                    <a:blip r:embed="rId60"/>
                    <a:stretch>
                      <a:fillRect/>
                    </a:stretch>
                  </pic:blipFill>
                  <pic:spPr>
                    <a:xfrm>
                      <a:off x="0" y="0"/>
                      <a:ext cx="5267325" cy="7428865"/>
                    </a:xfrm>
                    <a:prstGeom prst="rect">
                      <a:avLst/>
                    </a:prstGeom>
                  </pic:spPr>
                </pic:pic>
              </a:graphicData>
            </a:graphic>
          </wp:inline>
        </w:drawing>
      </w:r>
      <w:r>
        <w:rPr>
          <w:rFonts w:hint="eastAsia"/>
        </w:rPr>
        <w:drawing>
          <wp:inline distT="0" distB="0" distL="114300" distR="114300">
            <wp:extent cx="5267325" cy="7428865"/>
            <wp:effectExtent l="0" t="0" r="3175" b="635"/>
            <wp:docPr id="22" name="图片 22" descr="MX-2018UC_20240809_145816(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MX-2018UC_20240809_145816(1)_01"/>
                    <pic:cNvPicPr>
                      <a:picLocks noChangeAspect="1"/>
                    </pic:cNvPicPr>
                  </pic:nvPicPr>
                  <pic:blipFill>
                    <a:blip r:embed="rId61"/>
                    <a:stretch>
                      <a:fillRect/>
                    </a:stretch>
                  </pic:blipFill>
                  <pic:spPr>
                    <a:xfrm>
                      <a:off x="0" y="0"/>
                      <a:ext cx="5267325" cy="7428865"/>
                    </a:xfrm>
                    <a:prstGeom prst="rect">
                      <a:avLst/>
                    </a:prstGeom>
                  </pic:spPr>
                </pic:pic>
              </a:graphicData>
            </a:graphic>
          </wp:inline>
        </w:drawing>
      </w:r>
      <w:r>
        <w:rPr>
          <w:rFonts w:hint="eastAsia"/>
        </w:rPr>
        <w:drawing>
          <wp:inline distT="0" distB="0" distL="114300" distR="114300">
            <wp:extent cx="5267325" cy="7428865"/>
            <wp:effectExtent l="0" t="0" r="3175" b="635"/>
            <wp:docPr id="7" name="图片 7" descr="MX-2018UC_20240809_145816(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MX-2018UC_20240809_145816(1)_02"/>
                    <pic:cNvPicPr>
                      <a:picLocks noChangeAspect="1"/>
                    </pic:cNvPicPr>
                  </pic:nvPicPr>
                  <pic:blipFill>
                    <a:blip r:embed="rId62"/>
                    <a:stretch>
                      <a:fillRect/>
                    </a:stretch>
                  </pic:blipFill>
                  <pic:spPr>
                    <a:xfrm>
                      <a:off x="0" y="0"/>
                      <a:ext cx="5267325" cy="7428865"/>
                    </a:xfrm>
                    <a:prstGeom prst="rect">
                      <a:avLst/>
                    </a:prstGeom>
                  </pic:spPr>
                </pic:pic>
              </a:graphicData>
            </a:graphic>
          </wp:inline>
        </w:drawing>
      </w:r>
      <w:r>
        <w:rPr>
          <w:rFonts w:hint="eastAsia"/>
        </w:rPr>
        <w:drawing>
          <wp:inline distT="0" distB="0" distL="114300" distR="114300">
            <wp:extent cx="5267325" cy="7428865"/>
            <wp:effectExtent l="0" t="0" r="3175" b="635"/>
            <wp:docPr id="6" name="图片 6" descr="MX-2018UC_20240809_145816(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MX-2018UC_20240809_145816(1)_03"/>
                    <pic:cNvPicPr>
                      <a:picLocks noChangeAspect="1"/>
                    </pic:cNvPicPr>
                  </pic:nvPicPr>
                  <pic:blipFill>
                    <a:blip r:embed="rId63"/>
                    <a:stretch>
                      <a:fillRect/>
                    </a:stretch>
                  </pic:blipFill>
                  <pic:spPr>
                    <a:xfrm>
                      <a:off x="0" y="0"/>
                      <a:ext cx="5267325" cy="7428865"/>
                    </a:xfrm>
                    <a:prstGeom prst="rect">
                      <a:avLst/>
                    </a:prstGeom>
                  </pic:spPr>
                </pic:pic>
              </a:graphicData>
            </a:graphic>
          </wp:inline>
        </w:drawing>
      </w:r>
      <w:r>
        <w:rPr>
          <w:rFonts w:hint="eastAsia"/>
        </w:rPr>
        <w:drawing>
          <wp:inline distT="0" distB="0" distL="114300" distR="114300">
            <wp:extent cx="5267325" cy="7428865"/>
            <wp:effectExtent l="0" t="0" r="3175" b="635"/>
            <wp:docPr id="5" name="图片 5" descr="MX-2018UC_20240809_145816(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MX-2018UC_20240809_145816(1)_04"/>
                    <pic:cNvPicPr>
                      <a:picLocks noChangeAspect="1"/>
                    </pic:cNvPicPr>
                  </pic:nvPicPr>
                  <pic:blipFill>
                    <a:blip r:embed="rId64"/>
                    <a:stretch>
                      <a:fillRect/>
                    </a:stretch>
                  </pic:blipFill>
                  <pic:spPr>
                    <a:xfrm>
                      <a:off x="0" y="0"/>
                      <a:ext cx="5267325" cy="7428865"/>
                    </a:xfrm>
                    <a:prstGeom prst="rect">
                      <a:avLst/>
                    </a:prstGeom>
                  </pic:spPr>
                </pic:pic>
              </a:graphicData>
            </a:graphic>
          </wp:inline>
        </w:drawing>
      </w:r>
    </w:p>
    <w:p w14:paraId="6F2AFA13">
      <w:pPr>
        <w:pStyle w:val="3"/>
        <w:sectPr>
          <w:pgSz w:w="11906" w:h="16838"/>
          <w:pgMar w:top="1440" w:right="1800" w:bottom="1440" w:left="1800" w:header="851" w:footer="992" w:gutter="0"/>
          <w:cols w:space="425" w:num="1"/>
          <w:docGrid w:type="lines" w:linePitch="312" w:charSpace="0"/>
        </w:sectPr>
      </w:pPr>
    </w:p>
    <w:p w14:paraId="737CFF35">
      <w:pPr>
        <w:pStyle w:val="3"/>
      </w:pPr>
      <w:bookmarkStart w:id="454" w:name="_Toc175233424"/>
      <w:r>
        <w:rPr>
          <w:rFonts w:hint="eastAsia"/>
        </w:rPr>
        <w:t>专家意见答复单</w:t>
      </w:r>
      <w:bookmarkEnd w:id="454"/>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0"/>
        <w:gridCol w:w="2424"/>
        <w:gridCol w:w="1326"/>
        <w:gridCol w:w="1202"/>
        <w:gridCol w:w="2410"/>
      </w:tblGrid>
      <w:tr w14:paraId="2359EE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1" w:type="pct"/>
            <w:vAlign w:val="center"/>
          </w:tcPr>
          <w:p w14:paraId="157E1F60">
            <w:pPr>
              <w:jc w:val="center"/>
              <w:rPr>
                <w:rFonts w:hint="eastAsia" w:ascii="宋体" w:hAnsi="宋体" w:eastAsia="宋体" w:cs="宋体"/>
                <w:b/>
                <w:bCs/>
                <w:sz w:val="21"/>
                <w:szCs w:val="21"/>
              </w:rPr>
            </w:pPr>
            <w:r>
              <w:rPr>
                <w:rFonts w:hint="eastAsia" w:ascii="宋体" w:hAnsi="宋体" w:eastAsia="宋体" w:cs="宋体"/>
                <w:b/>
                <w:bCs/>
                <w:sz w:val="21"/>
                <w:szCs w:val="21"/>
              </w:rPr>
              <w:t>项目名称</w:t>
            </w:r>
          </w:p>
        </w:tc>
        <w:tc>
          <w:tcPr>
            <w:tcW w:w="2200" w:type="pct"/>
            <w:gridSpan w:val="2"/>
            <w:vAlign w:val="center"/>
          </w:tcPr>
          <w:p w14:paraId="22867261">
            <w:pPr>
              <w:rPr>
                <w:rFonts w:hint="eastAsia" w:ascii="宋体" w:hAnsi="宋体" w:eastAsia="宋体" w:cs="宋体"/>
                <w:b/>
                <w:bCs/>
                <w:sz w:val="21"/>
                <w:szCs w:val="21"/>
              </w:rPr>
            </w:pPr>
            <w:r>
              <w:rPr>
                <w:rFonts w:hint="eastAsia" w:ascii="宋体" w:hAnsi="宋体" w:eastAsia="宋体" w:cs="宋体"/>
                <w:b/>
                <w:bCs/>
                <w:sz w:val="21"/>
                <w:szCs w:val="21"/>
              </w:rPr>
              <w:t>西宁市湟中区农村人畜饮水净化配套工程建设项目</w:t>
            </w:r>
          </w:p>
        </w:tc>
        <w:tc>
          <w:tcPr>
            <w:tcW w:w="705" w:type="pct"/>
            <w:vAlign w:val="center"/>
          </w:tcPr>
          <w:p w14:paraId="1ADEB82D">
            <w:pPr>
              <w:jc w:val="center"/>
              <w:rPr>
                <w:rFonts w:hint="eastAsia" w:ascii="宋体" w:hAnsi="宋体" w:eastAsia="宋体" w:cs="宋体"/>
                <w:b/>
                <w:bCs/>
                <w:sz w:val="21"/>
                <w:szCs w:val="21"/>
              </w:rPr>
            </w:pPr>
            <w:r>
              <w:rPr>
                <w:rFonts w:hint="eastAsia" w:ascii="宋体" w:hAnsi="宋体" w:eastAsia="宋体" w:cs="宋体"/>
                <w:b/>
                <w:bCs/>
                <w:sz w:val="21"/>
                <w:szCs w:val="21"/>
              </w:rPr>
              <w:t>审查时间</w:t>
            </w:r>
          </w:p>
        </w:tc>
        <w:tc>
          <w:tcPr>
            <w:tcW w:w="1414" w:type="pct"/>
            <w:vAlign w:val="center"/>
          </w:tcPr>
          <w:p w14:paraId="6D4C4E04">
            <w:pPr>
              <w:jc w:val="center"/>
              <w:rPr>
                <w:rFonts w:hint="eastAsia" w:ascii="宋体" w:hAnsi="宋体" w:eastAsia="宋体" w:cs="宋体"/>
                <w:b/>
                <w:bCs/>
                <w:sz w:val="21"/>
                <w:szCs w:val="21"/>
              </w:rPr>
            </w:pPr>
            <w:r>
              <w:rPr>
                <w:rFonts w:hint="eastAsia" w:ascii="宋体" w:hAnsi="宋体" w:eastAsia="宋体" w:cs="宋体"/>
                <w:b/>
                <w:bCs/>
                <w:sz w:val="21"/>
                <w:szCs w:val="21"/>
              </w:rPr>
              <w:t>2024年7月24日</w:t>
            </w:r>
          </w:p>
        </w:tc>
      </w:tr>
      <w:tr w14:paraId="4CAC6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681" w:type="pct"/>
            <w:vAlign w:val="center"/>
          </w:tcPr>
          <w:p w14:paraId="4C0F7492">
            <w:pPr>
              <w:jc w:val="center"/>
              <w:rPr>
                <w:rFonts w:hint="eastAsia" w:ascii="宋体" w:hAnsi="宋体" w:eastAsia="宋体" w:cs="宋体"/>
                <w:b/>
                <w:bCs/>
                <w:sz w:val="21"/>
                <w:szCs w:val="21"/>
              </w:rPr>
            </w:pPr>
            <w:r>
              <w:rPr>
                <w:rFonts w:hint="eastAsia" w:ascii="宋体" w:hAnsi="宋体" w:eastAsia="宋体" w:cs="宋体"/>
                <w:b/>
                <w:bCs/>
                <w:sz w:val="21"/>
                <w:szCs w:val="21"/>
              </w:rPr>
              <w:t>咨询单位</w:t>
            </w:r>
          </w:p>
        </w:tc>
        <w:tc>
          <w:tcPr>
            <w:tcW w:w="2200" w:type="pct"/>
            <w:gridSpan w:val="2"/>
          </w:tcPr>
          <w:p w14:paraId="07F7CFD2">
            <w:pPr>
              <w:rPr>
                <w:rFonts w:hint="eastAsia" w:ascii="宋体" w:hAnsi="宋体" w:eastAsia="宋体" w:cs="宋体"/>
                <w:b/>
                <w:bCs/>
                <w:sz w:val="21"/>
                <w:szCs w:val="21"/>
              </w:rPr>
            </w:pPr>
            <w:r>
              <w:rPr>
                <w:rFonts w:hint="eastAsia" w:ascii="宋体" w:hAnsi="宋体" w:eastAsia="宋体" w:cs="宋体"/>
                <w:b/>
                <w:bCs/>
                <w:sz w:val="21"/>
                <w:szCs w:val="21"/>
              </w:rPr>
              <w:t>北京易柯森特科技有限公司</w:t>
            </w:r>
          </w:p>
        </w:tc>
        <w:tc>
          <w:tcPr>
            <w:tcW w:w="705" w:type="pct"/>
            <w:vAlign w:val="center"/>
          </w:tcPr>
          <w:p w14:paraId="48EC6968">
            <w:pPr>
              <w:jc w:val="center"/>
              <w:rPr>
                <w:rFonts w:hint="eastAsia" w:ascii="宋体" w:hAnsi="宋体" w:eastAsia="宋体" w:cs="宋体"/>
                <w:b/>
                <w:bCs/>
                <w:sz w:val="21"/>
                <w:szCs w:val="21"/>
              </w:rPr>
            </w:pPr>
            <w:r>
              <w:rPr>
                <w:rFonts w:hint="eastAsia" w:ascii="宋体" w:hAnsi="宋体" w:eastAsia="宋体" w:cs="宋体"/>
                <w:b/>
                <w:bCs/>
                <w:sz w:val="21"/>
                <w:szCs w:val="21"/>
              </w:rPr>
              <w:t>审查专家</w:t>
            </w:r>
          </w:p>
        </w:tc>
        <w:tc>
          <w:tcPr>
            <w:tcW w:w="1414" w:type="pct"/>
            <w:vAlign w:val="center"/>
          </w:tcPr>
          <w:p w14:paraId="30948483">
            <w:pPr>
              <w:jc w:val="center"/>
              <w:rPr>
                <w:rFonts w:hint="eastAsia" w:ascii="宋体" w:hAnsi="宋体" w:eastAsia="宋体" w:cs="宋体"/>
                <w:b/>
                <w:bCs/>
                <w:sz w:val="21"/>
                <w:szCs w:val="21"/>
              </w:rPr>
            </w:pPr>
            <w:r>
              <w:rPr>
                <w:rFonts w:hint="eastAsia" w:ascii="宋体" w:hAnsi="宋体" w:eastAsia="宋体" w:cs="宋体"/>
                <w:b/>
                <w:bCs/>
                <w:sz w:val="21"/>
                <w:szCs w:val="21"/>
              </w:rPr>
              <w:t>徐晓英、陈文元、安玉静、周相如</w:t>
            </w:r>
          </w:p>
        </w:tc>
      </w:tr>
      <w:tr w14:paraId="093E1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03" w:type="pct"/>
            <w:gridSpan w:val="2"/>
          </w:tcPr>
          <w:p w14:paraId="0CB4B239">
            <w:pPr>
              <w:jc w:val="center"/>
              <w:rPr>
                <w:rFonts w:hint="eastAsia" w:ascii="宋体" w:hAnsi="宋体" w:eastAsia="宋体" w:cs="宋体"/>
                <w:b/>
                <w:bCs/>
                <w:sz w:val="21"/>
                <w:szCs w:val="21"/>
              </w:rPr>
            </w:pPr>
            <w:r>
              <w:rPr>
                <w:rFonts w:hint="eastAsia" w:ascii="宋体" w:hAnsi="宋体" w:eastAsia="宋体" w:cs="宋体"/>
                <w:b/>
                <w:bCs/>
                <w:sz w:val="21"/>
                <w:szCs w:val="21"/>
              </w:rPr>
              <w:t>审查意见</w:t>
            </w:r>
          </w:p>
        </w:tc>
        <w:tc>
          <w:tcPr>
            <w:tcW w:w="778" w:type="pct"/>
          </w:tcPr>
          <w:p w14:paraId="0B25FF1D">
            <w:pPr>
              <w:jc w:val="center"/>
              <w:rPr>
                <w:rFonts w:hint="eastAsia" w:ascii="宋体" w:hAnsi="宋体" w:eastAsia="宋体" w:cs="宋体"/>
                <w:b/>
                <w:bCs/>
                <w:sz w:val="21"/>
                <w:szCs w:val="21"/>
              </w:rPr>
            </w:pPr>
            <w:r>
              <w:rPr>
                <w:rFonts w:hint="eastAsia" w:ascii="宋体" w:hAnsi="宋体" w:eastAsia="宋体" w:cs="宋体"/>
                <w:b/>
                <w:bCs/>
                <w:sz w:val="21"/>
                <w:szCs w:val="21"/>
              </w:rPr>
              <w:t>采纳情况</w:t>
            </w:r>
          </w:p>
        </w:tc>
        <w:tc>
          <w:tcPr>
            <w:tcW w:w="2119" w:type="pct"/>
            <w:gridSpan w:val="2"/>
          </w:tcPr>
          <w:p w14:paraId="4BB8BD2C">
            <w:pPr>
              <w:jc w:val="center"/>
              <w:rPr>
                <w:rFonts w:hint="eastAsia" w:ascii="宋体" w:hAnsi="宋体" w:eastAsia="宋体" w:cs="宋体"/>
                <w:b/>
                <w:bCs/>
                <w:sz w:val="21"/>
                <w:szCs w:val="21"/>
              </w:rPr>
            </w:pPr>
            <w:r>
              <w:rPr>
                <w:rFonts w:hint="eastAsia" w:ascii="宋体" w:hAnsi="宋体" w:eastAsia="宋体" w:cs="宋体"/>
                <w:b/>
                <w:bCs/>
                <w:sz w:val="21"/>
                <w:szCs w:val="21"/>
              </w:rPr>
              <w:t>答复意见</w:t>
            </w:r>
          </w:p>
        </w:tc>
      </w:tr>
      <w:tr w14:paraId="316334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2103" w:type="pct"/>
            <w:gridSpan w:val="2"/>
          </w:tcPr>
          <w:p w14:paraId="2F445A91">
            <w:pPr>
              <w:pStyle w:val="74"/>
              <w:rPr>
                <w:rFonts w:hint="eastAsia"/>
              </w:rPr>
            </w:pPr>
            <w:r>
              <w:rPr>
                <w:rFonts w:hint="eastAsia"/>
              </w:rPr>
              <w:t>按初设编规调整文本格式。</w:t>
            </w:r>
          </w:p>
          <w:p w14:paraId="6C5334FB">
            <w:pPr>
              <w:pStyle w:val="74"/>
              <w:rPr>
                <w:rFonts w:hint="eastAsia"/>
              </w:rPr>
            </w:pPr>
            <w:r>
              <w:rPr>
                <w:rFonts w:hint="eastAsia"/>
              </w:rPr>
              <w:t>必要性按实际存在的问题来写，现状基本情况及问题针对项目细化。</w:t>
            </w:r>
          </w:p>
          <w:p w14:paraId="4F2465E3">
            <w:pPr>
              <w:pStyle w:val="74"/>
              <w:rPr>
                <w:rFonts w:hint="eastAsia"/>
              </w:rPr>
            </w:pPr>
            <w:r>
              <w:rPr>
                <w:rFonts w:hint="eastAsia"/>
              </w:rPr>
              <w:t>项目区现状云建设情况，本工程建设后与已建平台怎么接入？</w:t>
            </w:r>
          </w:p>
          <w:p w14:paraId="42659419">
            <w:pPr>
              <w:pStyle w:val="74"/>
              <w:rPr>
                <w:rFonts w:hint="eastAsia"/>
              </w:rPr>
            </w:pPr>
            <w:r>
              <w:rPr>
                <w:rFonts w:hint="eastAsia"/>
              </w:rPr>
              <w:t>明确具体位置（坐标），建筑物设计应明确（</w:t>
            </w:r>
            <w:r>
              <w:rPr>
                <w:rFonts w:hint="eastAsia"/>
                <w:color w:val="000000"/>
                <w:shd w:val="clear" w:color="auto" w:fill="FFFFFF"/>
              </w:rPr>
              <w:t>硂</w:t>
            </w:r>
            <w:r>
              <w:rPr>
                <w:rFonts w:hint="eastAsia" w:ascii="Songti SC" w:hAnsi="Songti SC" w:cs="Songti SC"/>
                <w:color w:val="000000"/>
                <w:shd w:val="clear" w:color="auto" w:fill="FFFFFF"/>
              </w:rPr>
              <w:t>、土方设计等</w:t>
            </w:r>
            <w:r>
              <w:rPr>
                <w:rFonts w:hint="eastAsia"/>
              </w:rPr>
              <w:t>）。</w:t>
            </w:r>
          </w:p>
          <w:p w14:paraId="4DEF6CBB">
            <w:pPr>
              <w:pStyle w:val="74"/>
              <w:rPr>
                <w:rFonts w:hint="eastAsia"/>
              </w:rPr>
            </w:pPr>
            <w:r>
              <w:rPr>
                <w:rFonts w:hint="eastAsia"/>
              </w:rPr>
              <w:t>补充总体布置图，主要是点位要明确，补充监测及过滤图件。</w:t>
            </w:r>
          </w:p>
          <w:p w14:paraId="752B201E">
            <w:pPr>
              <w:pStyle w:val="74"/>
              <w:rPr>
                <w:rFonts w:hint="eastAsia"/>
              </w:rPr>
            </w:pPr>
            <w:r>
              <w:rPr>
                <w:rFonts w:hint="eastAsia"/>
              </w:rPr>
              <w:t>过滤设施具体布置在水源地什么位置、蓄水池还是取水口？</w:t>
            </w:r>
          </w:p>
          <w:p w14:paraId="127C051B">
            <w:pPr>
              <w:pStyle w:val="74"/>
              <w:rPr>
                <w:rFonts w:hint="eastAsia"/>
              </w:rPr>
            </w:pPr>
            <w:r>
              <w:rPr>
                <w:rFonts w:hint="eastAsia"/>
              </w:rPr>
              <w:t>明确建设单位及运行单位，运行费用。</w:t>
            </w:r>
          </w:p>
          <w:p w14:paraId="3ADC86FE">
            <w:pPr>
              <w:pStyle w:val="74"/>
              <w:rPr>
                <w:rFonts w:hint="eastAsia"/>
              </w:rPr>
            </w:pPr>
            <w:r>
              <w:rPr>
                <w:rFonts w:hint="eastAsia"/>
              </w:rPr>
              <w:t>渠道监控建议全部放至人畜饮水工程中。</w:t>
            </w:r>
          </w:p>
          <w:p w14:paraId="3933A23B">
            <w:pPr>
              <w:pStyle w:val="74"/>
              <w:rPr>
                <w:rFonts w:hint="eastAsia"/>
              </w:rPr>
            </w:pPr>
            <w:r>
              <w:rPr>
                <w:rFonts w:hint="eastAsia"/>
              </w:rPr>
              <w:t>工程为“实施方案”，按照初步设计编制。</w:t>
            </w:r>
          </w:p>
          <w:p w14:paraId="0CE370C0">
            <w:pPr>
              <w:pStyle w:val="74"/>
              <w:rPr>
                <w:rFonts w:hint="eastAsia"/>
              </w:rPr>
            </w:pPr>
            <w:r>
              <w:rPr>
                <w:rFonts w:hint="eastAsia"/>
              </w:rPr>
              <w:t>补充工程区域总体平面图，各站点的场地图、断面图，明确点位位置、网络布置、汇总传输线路。</w:t>
            </w:r>
          </w:p>
          <w:p w14:paraId="0C693BE3">
            <w:pPr>
              <w:pStyle w:val="74"/>
              <w:rPr>
                <w:rFonts w:hint="eastAsia"/>
              </w:rPr>
            </w:pPr>
            <w:r>
              <w:rPr>
                <w:rFonts w:hint="eastAsia"/>
              </w:rPr>
              <w:t>各站点的终端平台建设（接入），位置于何处？</w:t>
            </w:r>
          </w:p>
          <w:p w14:paraId="3C2B278A">
            <w:pPr>
              <w:pStyle w:val="74"/>
              <w:rPr>
                <w:rFonts w:hint="eastAsia"/>
              </w:rPr>
            </w:pPr>
            <w:r>
              <w:rPr>
                <w:rFonts w:hint="eastAsia"/>
              </w:rPr>
              <w:t>现有水质监测平台情况如何？与现有系统的对接？</w:t>
            </w:r>
          </w:p>
          <w:p w14:paraId="5E98BC30">
            <w:pPr>
              <w:pStyle w:val="74"/>
              <w:rPr>
                <w:rFonts w:hint="eastAsia"/>
              </w:rPr>
            </w:pPr>
            <w:r>
              <w:rPr>
                <w:rFonts w:hint="eastAsia"/>
              </w:rPr>
              <w:t>各节点的工程图、设计方法确实，难以满足施工要求（基础杆件、净化设备、布置安装）。</w:t>
            </w:r>
          </w:p>
          <w:p w14:paraId="24785C39">
            <w:pPr>
              <w:pStyle w:val="74"/>
              <w:rPr>
                <w:rFonts w:hint="eastAsia"/>
              </w:rPr>
            </w:pPr>
            <w:r>
              <w:rPr>
                <w:rFonts w:hint="eastAsia"/>
              </w:rPr>
              <w:t>电源为220V有限电线，接入点接入方式。</w:t>
            </w:r>
          </w:p>
          <w:p w14:paraId="3876C7EE">
            <w:pPr>
              <w:pStyle w:val="74"/>
              <w:rPr>
                <w:rFonts w:hint="eastAsia"/>
              </w:rPr>
            </w:pPr>
            <w:r>
              <w:rPr>
                <w:rFonts w:hint="eastAsia"/>
              </w:rPr>
              <w:t>信息化建成后，管理运行费用来源要明确。</w:t>
            </w:r>
          </w:p>
          <w:p w14:paraId="3FE0CB67">
            <w:pPr>
              <w:pStyle w:val="74"/>
              <w:rPr>
                <w:rFonts w:hint="eastAsia"/>
              </w:rPr>
            </w:pPr>
            <w:r>
              <w:rPr>
                <w:rFonts w:hint="eastAsia"/>
              </w:rPr>
              <w:t>予标补充编制依据，材料价格水平年。</w:t>
            </w:r>
          </w:p>
          <w:p w14:paraId="2DE8155F">
            <w:pPr>
              <w:pStyle w:val="74"/>
              <w:rPr>
                <w:rFonts w:hint="eastAsia"/>
              </w:rPr>
            </w:pPr>
            <w:r>
              <w:rPr>
                <w:rFonts w:hint="eastAsia"/>
              </w:rPr>
              <w:t>予标按编规要求土建、机电设备分开计算。（设备、安装费）</w:t>
            </w:r>
          </w:p>
          <w:p w14:paraId="3B88A704">
            <w:pPr>
              <w:pStyle w:val="74"/>
              <w:rPr>
                <w:rFonts w:hint="eastAsia"/>
              </w:rPr>
            </w:pPr>
            <w:r>
              <w:rPr>
                <w:rFonts w:hint="eastAsia"/>
              </w:rPr>
              <w:t>补充设备型号、规格。</w:t>
            </w:r>
          </w:p>
          <w:p w14:paraId="047C2590">
            <w:pPr>
              <w:pStyle w:val="74"/>
              <w:rPr>
                <w:rFonts w:hint="eastAsia"/>
              </w:rPr>
            </w:pPr>
            <w:r>
              <w:rPr>
                <w:rFonts w:hint="eastAsia"/>
              </w:rPr>
              <w:t>水渠视频监控与人畜饮水净化有啥关系？</w:t>
            </w:r>
          </w:p>
          <w:p w14:paraId="29B9C860">
            <w:pPr>
              <w:pStyle w:val="74"/>
              <w:rPr>
                <w:rFonts w:hint="eastAsia"/>
              </w:rPr>
            </w:pPr>
            <w:r>
              <w:rPr>
                <w:rFonts w:hint="eastAsia"/>
              </w:rPr>
              <w:t>临时工程单独计列，不能放在项目建设其他费，编规（一）建筑工程（二）机电设备及安装（四）临时工程。</w:t>
            </w:r>
          </w:p>
          <w:p w14:paraId="5748D427">
            <w:pPr>
              <w:pStyle w:val="74"/>
              <w:rPr>
                <w:rFonts w:hint="eastAsia"/>
              </w:rPr>
            </w:pPr>
            <w:r>
              <w:rPr>
                <w:rFonts w:hint="eastAsia"/>
              </w:rPr>
              <w:t>编制依据补充《苏青东西部协作项目资金管理办法》（青乡振局2023 95号）。</w:t>
            </w:r>
          </w:p>
          <w:p w14:paraId="1FFFCEBC">
            <w:pPr>
              <w:pStyle w:val="74"/>
              <w:rPr>
                <w:rFonts w:hint="eastAsia"/>
              </w:rPr>
            </w:pPr>
            <w:r>
              <w:rPr>
                <w:rFonts w:hint="eastAsia"/>
              </w:rPr>
              <w:t>补充资金来源为2024年度东西部协作资金。</w:t>
            </w:r>
          </w:p>
          <w:p w14:paraId="33AAD1B9">
            <w:pPr>
              <w:pStyle w:val="74"/>
              <w:rPr>
                <w:rFonts w:hint="eastAsia"/>
              </w:rPr>
            </w:pPr>
            <w:r>
              <w:rPr>
                <w:rFonts w:hint="eastAsia"/>
              </w:rPr>
              <w:t>分析湟中区农村人畜饮水净化现状如何。</w:t>
            </w:r>
          </w:p>
          <w:p w14:paraId="3B3C6E5D">
            <w:pPr>
              <w:pStyle w:val="74"/>
              <w:rPr>
                <w:rFonts w:hint="eastAsia"/>
              </w:rPr>
            </w:pPr>
            <w:r>
              <w:rPr>
                <w:rFonts w:hint="eastAsia"/>
              </w:rPr>
              <w:t>补充效益分析，绩效目标，资产产权。</w:t>
            </w:r>
          </w:p>
          <w:p w14:paraId="1862BC8E">
            <w:pPr>
              <w:pStyle w:val="74"/>
              <w:rPr>
                <w:rFonts w:hint="eastAsia"/>
              </w:rPr>
            </w:pPr>
            <w:r>
              <w:rPr>
                <w:rFonts w:hint="eastAsia"/>
              </w:rPr>
              <w:t>项目后续管理机制的建立，</w:t>
            </w:r>
          </w:p>
        </w:tc>
        <w:tc>
          <w:tcPr>
            <w:tcW w:w="778" w:type="pct"/>
          </w:tcPr>
          <w:p w14:paraId="1EE8541A">
            <w:pPr>
              <w:jc w:val="center"/>
              <w:rPr>
                <w:rFonts w:hint="eastAsia" w:ascii="宋体" w:hAnsi="宋体" w:eastAsia="宋体" w:cs="宋体"/>
                <w:sz w:val="21"/>
                <w:szCs w:val="21"/>
              </w:rPr>
            </w:pPr>
            <w:r>
              <w:rPr>
                <w:rFonts w:hint="eastAsia" w:ascii="宋体" w:hAnsi="宋体" w:eastAsia="宋体" w:cs="宋体"/>
                <w:sz w:val="21"/>
                <w:szCs w:val="21"/>
              </w:rPr>
              <w:t>全部采纳</w:t>
            </w:r>
          </w:p>
        </w:tc>
        <w:tc>
          <w:tcPr>
            <w:tcW w:w="2119" w:type="pct"/>
            <w:gridSpan w:val="2"/>
          </w:tcPr>
          <w:p w14:paraId="51EF2BFB">
            <w:pPr>
              <w:rPr>
                <w:rFonts w:hint="eastAsia" w:ascii="宋体" w:hAnsi="宋体" w:eastAsia="宋体" w:cs="宋体"/>
                <w:sz w:val="21"/>
                <w:szCs w:val="21"/>
              </w:rPr>
            </w:pPr>
            <w:r>
              <w:rPr>
                <w:rFonts w:hint="eastAsia" w:ascii="宋体" w:hAnsi="宋体" w:eastAsia="宋体" w:cs="宋体"/>
                <w:sz w:val="21"/>
                <w:szCs w:val="21"/>
              </w:rPr>
              <w:t>1.已调整初设编制整体格式，参照信息化初步设计编制。</w:t>
            </w:r>
          </w:p>
          <w:p w14:paraId="5F772169">
            <w:pPr>
              <w:rPr>
                <w:rFonts w:hint="eastAsia" w:ascii="宋体" w:hAnsi="宋体" w:eastAsia="宋体" w:cs="宋体"/>
                <w:sz w:val="21"/>
                <w:szCs w:val="21"/>
              </w:rPr>
            </w:pPr>
            <w:r>
              <w:rPr>
                <w:rFonts w:hint="eastAsia" w:ascii="宋体" w:hAnsi="宋体" w:eastAsia="宋体" w:cs="宋体"/>
                <w:sz w:val="21"/>
                <w:szCs w:val="21"/>
              </w:rPr>
              <w:t>2.已修改，见章节3.2。</w:t>
            </w:r>
          </w:p>
          <w:p w14:paraId="7849A231">
            <w:pPr>
              <w:rPr>
                <w:rFonts w:hint="eastAsia" w:ascii="宋体" w:hAnsi="宋体" w:eastAsia="宋体" w:cs="宋体"/>
                <w:sz w:val="21"/>
                <w:szCs w:val="21"/>
              </w:rPr>
            </w:pPr>
            <w:r>
              <w:rPr>
                <w:rFonts w:hint="eastAsia" w:ascii="宋体" w:hAnsi="宋体" w:eastAsia="宋体" w:cs="宋体"/>
                <w:sz w:val="21"/>
                <w:szCs w:val="21"/>
              </w:rPr>
              <w:t>3.已细化，见章节4.2.4，开放式接口设计，可对接第三方平台</w:t>
            </w:r>
          </w:p>
          <w:p w14:paraId="3BE024F7">
            <w:pPr>
              <w:rPr>
                <w:rFonts w:hint="eastAsia" w:ascii="宋体" w:hAnsi="宋体" w:eastAsia="宋体" w:cs="宋体"/>
                <w:sz w:val="21"/>
                <w:szCs w:val="21"/>
              </w:rPr>
            </w:pPr>
            <w:r>
              <w:rPr>
                <w:rFonts w:hint="eastAsia" w:ascii="宋体" w:hAnsi="宋体" w:eastAsia="宋体" w:cs="宋体"/>
                <w:sz w:val="21"/>
                <w:szCs w:val="21"/>
              </w:rPr>
              <w:t>4.已明确具体位置（坐标），见章节13.6，建筑物设计更多为设备采购，安装按照配套设施计列，安装费包含在设备购置费中，不涉及土方设计等。</w:t>
            </w:r>
          </w:p>
          <w:p w14:paraId="20F6F89D">
            <w:pPr>
              <w:rPr>
                <w:rFonts w:hint="eastAsia" w:ascii="宋体" w:hAnsi="宋体" w:eastAsia="宋体" w:cs="宋体"/>
                <w:sz w:val="21"/>
                <w:szCs w:val="21"/>
              </w:rPr>
            </w:pPr>
            <w:r>
              <w:rPr>
                <w:rFonts w:hint="eastAsia" w:ascii="宋体" w:hAnsi="宋体" w:eastAsia="宋体" w:cs="宋体"/>
                <w:sz w:val="21"/>
                <w:szCs w:val="21"/>
              </w:rPr>
              <w:t>5.已明确，见章节5.4和13.6。</w:t>
            </w:r>
          </w:p>
          <w:p w14:paraId="3DAC738E">
            <w:pPr>
              <w:rPr>
                <w:rFonts w:hint="eastAsia" w:ascii="宋体" w:hAnsi="宋体" w:eastAsia="宋体" w:cs="宋体"/>
                <w:sz w:val="21"/>
                <w:szCs w:val="21"/>
              </w:rPr>
            </w:pPr>
            <w:r>
              <w:rPr>
                <w:rFonts w:hint="eastAsia" w:ascii="宋体" w:hAnsi="宋体" w:eastAsia="宋体" w:cs="宋体"/>
                <w:sz w:val="21"/>
                <w:szCs w:val="21"/>
              </w:rPr>
              <w:t>6.已补充。见章节5.4。</w:t>
            </w:r>
          </w:p>
          <w:p w14:paraId="1BD9E43B">
            <w:pPr>
              <w:rPr>
                <w:rFonts w:hint="eastAsia" w:ascii="宋体" w:hAnsi="宋体" w:eastAsia="宋体" w:cs="宋体"/>
                <w:sz w:val="21"/>
                <w:szCs w:val="21"/>
              </w:rPr>
            </w:pPr>
            <w:r>
              <w:rPr>
                <w:rFonts w:hint="eastAsia" w:ascii="宋体" w:hAnsi="宋体" w:eastAsia="宋体" w:cs="宋体"/>
                <w:sz w:val="21"/>
                <w:szCs w:val="21"/>
              </w:rPr>
              <w:t>7.已确定，见章节第二章。运行费用主要为免费运维费，由财政支出。</w:t>
            </w:r>
          </w:p>
          <w:p w14:paraId="11157684">
            <w:pPr>
              <w:rPr>
                <w:rFonts w:hint="eastAsia" w:ascii="宋体" w:hAnsi="宋体" w:eastAsia="宋体" w:cs="宋体"/>
                <w:sz w:val="21"/>
                <w:szCs w:val="21"/>
              </w:rPr>
            </w:pPr>
            <w:r>
              <w:rPr>
                <w:rFonts w:hint="eastAsia" w:ascii="宋体" w:hAnsi="宋体" w:eastAsia="宋体" w:cs="宋体"/>
                <w:sz w:val="21"/>
                <w:szCs w:val="21"/>
              </w:rPr>
              <w:t>8.已采纳，渠道监控已全部放至人畜饮水净化工程的水源地监控中。</w:t>
            </w:r>
          </w:p>
          <w:p w14:paraId="7F705993">
            <w:pPr>
              <w:rPr>
                <w:rFonts w:hint="eastAsia" w:ascii="宋体" w:hAnsi="宋体" w:eastAsia="宋体" w:cs="宋体"/>
                <w:sz w:val="21"/>
                <w:szCs w:val="21"/>
              </w:rPr>
            </w:pPr>
            <w:r>
              <w:rPr>
                <w:rFonts w:hint="eastAsia" w:ascii="宋体" w:hAnsi="宋体" w:eastAsia="宋体" w:cs="宋体"/>
                <w:sz w:val="21"/>
                <w:szCs w:val="21"/>
              </w:rPr>
              <w:t>9.已调整初设编制整体格式，参照信息化初步设计编制。</w:t>
            </w:r>
          </w:p>
          <w:p w14:paraId="14296261">
            <w:pPr>
              <w:rPr>
                <w:rFonts w:hint="eastAsia" w:ascii="宋体" w:hAnsi="宋体" w:eastAsia="宋体" w:cs="宋体"/>
                <w:sz w:val="21"/>
                <w:szCs w:val="21"/>
              </w:rPr>
            </w:pPr>
            <w:r>
              <w:rPr>
                <w:rFonts w:hint="eastAsia" w:ascii="宋体" w:hAnsi="宋体" w:eastAsia="宋体" w:cs="宋体"/>
                <w:sz w:val="21"/>
                <w:szCs w:val="21"/>
              </w:rPr>
              <w:t>10.中标方绘制。</w:t>
            </w:r>
          </w:p>
          <w:p w14:paraId="12AFCE07">
            <w:pPr>
              <w:rPr>
                <w:rFonts w:hint="eastAsia" w:ascii="宋体" w:hAnsi="宋体" w:eastAsia="宋体" w:cs="宋体"/>
                <w:sz w:val="21"/>
                <w:szCs w:val="21"/>
              </w:rPr>
            </w:pPr>
            <w:r>
              <w:rPr>
                <w:rFonts w:hint="eastAsia" w:ascii="宋体" w:hAnsi="宋体" w:eastAsia="宋体" w:cs="宋体"/>
                <w:sz w:val="21"/>
                <w:szCs w:val="21"/>
              </w:rPr>
              <w:t>11.已明确，见章节4.2.4，湟中区各水源地站点拥有独立账号，可查询该站点设备信息，水利局拥有总账号可查询所有水源地站点信息。</w:t>
            </w:r>
          </w:p>
          <w:p w14:paraId="7D7F8B27">
            <w:pPr>
              <w:rPr>
                <w:rFonts w:hint="eastAsia" w:ascii="宋体" w:hAnsi="宋体" w:eastAsia="宋体" w:cs="宋体"/>
                <w:sz w:val="21"/>
                <w:szCs w:val="21"/>
              </w:rPr>
            </w:pPr>
            <w:r>
              <w:rPr>
                <w:rFonts w:hint="eastAsia" w:ascii="宋体" w:hAnsi="宋体" w:eastAsia="宋体" w:cs="宋体"/>
                <w:sz w:val="21"/>
                <w:szCs w:val="21"/>
              </w:rPr>
              <w:t>12.已明确，目前无水质监测平台。</w:t>
            </w:r>
          </w:p>
          <w:p w14:paraId="210A423E">
            <w:pPr>
              <w:rPr>
                <w:rFonts w:hint="eastAsia" w:ascii="宋体" w:hAnsi="宋体" w:eastAsia="宋体" w:cs="宋体"/>
                <w:sz w:val="21"/>
                <w:szCs w:val="21"/>
              </w:rPr>
            </w:pPr>
            <w:r>
              <w:rPr>
                <w:rFonts w:hint="eastAsia" w:ascii="宋体" w:hAnsi="宋体" w:eastAsia="宋体" w:cs="宋体"/>
                <w:sz w:val="21"/>
                <w:szCs w:val="21"/>
              </w:rPr>
              <w:t>13.已补充点位图，同时整个实施方案按照设备采购规划。</w:t>
            </w:r>
          </w:p>
          <w:p w14:paraId="219C0DBB">
            <w:pPr>
              <w:rPr>
                <w:rFonts w:hint="eastAsia" w:ascii="宋体" w:hAnsi="宋体" w:eastAsia="宋体" w:cs="宋体"/>
                <w:sz w:val="21"/>
                <w:szCs w:val="21"/>
              </w:rPr>
            </w:pPr>
            <w:r>
              <w:rPr>
                <w:rFonts w:hint="eastAsia" w:ascii="宋体" w:hAnsi="宋体" w:eastAsia="宋体" w:cs="宋体"/>
                <w:sz w:val="21"/>
                <w:szCs w:val="21"/>
              </w:rPr>
              <w:t>14. 已明确，市电供电时，</w:t>
            </w:r>
            <w:bookmarkStart w:id="455" w:name="_Hlk174454236"/>
            <w:r>
              <w:rPr>
                <w:rFonts w:hint="eastAsia" w:ascii="宋体" w:hAnsi="宋体" w:eastAsia="宋体" w:cs="宋体"/>
                <w:sz w:val="21"/>
                <w:szCs w:val="21"/>
              </w:rPr>
              <w:t>通过220V转24V转换模块接入设备</w:t>
            </w:r>
            <w:bookmarkEnd w:id="455"/>
            <w:r>
              <w:rPr>
                <w:rFonts w:hint="eastAsia" w:ascii="宋体" w:hAnsi="宋体" w:eastAsia="宋体" w:cs="宋体"/>
                <w:sz w:val="21"/>
                <w:szCs w:val="21"/>
              </w:rPr>
              <w:t>。</w:t>
            </w:r>
          </w:p>
          <w:p w14:paraId="7AC7842A">
            <w:pPr>
              <w:rPr>
                <w:rFonts w:hint="eastAsia" w:ascii="宋体" w:hAnsi="宋体" w:eastAsia="宋体" w:cs="宋体"/>
                <w:sz w:val="21"/>
                <w:szCs w:val="21"/>
              </w:rPr>
            </w:pPr>
            <w:r>
              <w:rPr>
                <w:rFonts w:hint="eastAsia" w:ascii="宋体" w:hAnsi="宋体" w:eastAsia="宋体" w:cs="宋体"/>
                <w:sz w:val="21"/>
                <w:szCs w:val="21"/>
              </w:rPr>
              <w:t>15.管理运行费主要为免费运维费，待施工方免费运维期结束后由甲方付费，资金来源主要为当地财政资金。具体取费参照：《青海省省直部门信息化运维与维护项目预算支出控制标准（试行）》的通知（青财预字〔2020〕2136号）。</w:t>
            </w:r>
          </w:p>
          <w:p w14:paraId="5326392A">
            <w:pPr>
              <w:rPr>
                <w:rFonts w:hint="eastAsia" w:ascii="宋体" w:hAnsi="宋体" w:eastAsia="宋体" w:cs="宋体"/>
                <w:sz w:val="21"/>
                <w:szCs w:val="21"/>
              </w:rPr>
            </w:pPr>
            <w:r>
              <w:rPr>
                <w:rFonts w:hint="eastAsia" w:ascii="宋体" w:hAnsi="宋体" w:eastAsia="宋体" w:cs="宋体"/>
                <w:sz w:val="21"/>
                <w:szCs w:val="21"/>
              </w:rPr>
              <w:t>16.已补充，见章节13.1。</w:t>
            </w:r>
          </w:p>
          <w:p w14:paraId="7C6BEE79">
            <w:pPr>
              <w:rPr>
                <w:rFonts w:hint="eastAsia" w:ascii="宋体" w:hAnsi="宋体" w:eastAsia="宋体" w:cs="宋体"/>
                <w:sz w:val="21"/>
                <w:szCs w:val="21"/>
              </w:rPr>
            </w:pPr>
            <w:r>
              <w:rPr>
                <w:rFonts w:hint="eastAsia" w:ascii="宋体" w:hAnsi="宋体" w:eastAsia="宋体" w:cs="宋体"/>
                <w:sz w:val="21"/>
                <w:szCs w:val="21"/>
              </w:rPr>
              <w:t>17.项目编制主要依据信息化系统和设备购置。</w:t>
            </w:r>
          </w:p>
          <w:p w14:paraId="53A89F94">
            <w:pPr>
              <w:rPr>
                <w:rFonts w:hint="eastAsia" w:ascii="宋体" w:hAnsi="宋体" w:eastAsia="宋体" w:cs="宋体"/>
                <w:sz w:val="21"/>
                <w:szCs w:val="21"/>
              </w:rPr>
            </w:pPr>
            <w:r>
              <w:rPr>
                <w:rFonts w:hint="eastAsia" w:ascii="宋体" w:hAnsi="宋体" w:eastAsia="宋体" w:cs="宋体"/>
                <w:sz w:val="21"/>
                <w:szCs w:val="21"/>
              </w:rPr>
              <w:t>18.设备型号规格待招标时由中标方确定，本次只提出设备的性能参数。</w:t>
            </w:r>
          </w:p>
          <w:p w14:paraId="06FEC1EB">
            <w:pPr>
              <w:rPr>
                <w:rFonts w:hint="eastAsia" w:ascii="宋体" w:hAnsi="宋体" w:eastAsia="宋体" w:cs="宋体"/>
                <w:sz w:val="21"/>
                <w:szCs w:val="21"/>
              </w:rPr>
            </w:pPr>
            <w:r>
              <w:rPr>
                <w:rFonts w:hint="eastAsia" w:ascii="宋体" w:hAnsi="宋体" w:eastAsia="宋体" w:cs="宋体"/>
                <w:sz w:val="21"/>
                <w:szCs w:val="21"/>
              </w:rPr>
              <w:t>19.已调整，水渠视频监控已全部放至人畜饮水净化工程的水源地监控中。</w:t>
            </w:r>
          </w:p>
          <w:p w14:paraId="7661FCFB">
            <w:pPr>
              <w:rPr>
                <w:rFonts w:hint="eastAsia" w:ascii="宋体" w:hAnsi="宋体" w:eastAsia="宋体" w:cs="宋体"/>
                <w:sz w:val="21"/>
                <w:szCs w:val="21"/>
              </w:rPr>
            </w:pPr>
            <w:r>
              <w:rPr>
                <w:rFonts w:hint="eastAsia" w:ascii="宋体" w:hAnsi="宋体" w:eastAsia="宋体" w:cs="宋体"/>
                <w:sz w:val="21"/>
                <w:szCs w:val="21"/>
              </w:rPr>
              <w:t>20.已参照。</w:t>
            </w:r>
          </w:p>
          <w:p w14:paraId="28331442">
            <w:pPr>
              <w:rPr>
                <w:rFonts w:hint="eastAsia" w:ascii="宋体" w:hAnsi="宋体" w:eastAsia="宋体" w:cs="宋体"/>
                <w:sz w:val="21"/>
                <w:szCs w:val="21"/>
              </w:rPr>
            </w:pPr>
            <w:r>
              <w:rPr>
                <w:rFonts w:hint="eastAsia" w:ascii="宋体" w:hAnsi="宋体" w:eastAsia="宋体" w:cs="宋体"/>
                <w:sz w:val="21"/>
                <w:szCs w:val="21"/>
              </w:rPr>
              <w:t>21.已补充。</w:t>
            </w:r>
          </w:p>
          <w:p w14:paraId="4A9CF12E">
            <w:pPr>
              <w:rPr>
                <w:rFonts w:hint="eastAsia" w:ascii="宋体" w:hAnsi="宋体" w:eastAsia="宋体" w:cs="宋体"/>
                <w:sz w:val="21"/>
                <w:szCs w:val="21"/>
              </w:rPr>
            </w:pPr>
            <w:r>
              <w:rPr>
                <w:rFonts w:hint="eastAsia" w:ascii="宋体" w:hAnsi="宋体" w:eastAsia="宋体" w:cs="宋体"/>
                <w:sz w:val="21"/>
                <w:szCs w:val="21"/>
              </w:rPr>
              <w:t>22.已补充。</w:t>
            </w:r>
          </w:p>
          <w:p w14:paraId="01DD5D50">
            <w:pPr>
              <w:rPr>
                <w:rFonts w:hint="eastAsia" w:ascii="宋体" w:hAnsi="宋体" w:eastAsia="宋体" w:cs="宋体"/>
                <w:sz w:val="21"/>
                <w:szCs w:val="21"/>
              </w:rPr>
            </w:pPr>
            <w:r>
              <w:rPr>
                <w:rFonts w:hint="eastAsia" w:ascii="宋体" w:hAnsi="宋体" w:eastAsia="宋体" w:cs="宋体"/>
                <w:sz w:val="21"/>
                <w:szCs w:val="21"/>
              </w:rPr>
              <w:t>23.已补充，见章节3.1。</w:t>
            </w:r>
          </w:p>
          <w:p w14:paraId="2451733F">
            <w:pPr>
              <w:rPr>
                <w:rFonts w:hint="eastAsia" w:ascii="宋体" w:hAnsi="宋体" w:eastAsia="宋体" w:cs="宋体"/>
                <w:sz w:val="21"/>
                <w:szCs w:val="21"/>
              </w:rPr>
            </w:pPr>
            <w:r>
              <w:rPr>
                <w:rFonts w:hint="eastAsia" w:ascii="宋体" w:hAnsi="宋体" w:eastAsia="宋体" w:cs="宋体"/>
                <w:sz w:val="21"/>
                <w:szCs w:val="21"/>
              </w:rPr>
              <w:t>24.已补充。资产归甲方所有。</w:t>
            </w:r>
          </w:p>
          <w:p w14:paraId="63BEFFAB">
            <w:pPr>
              <w:rPr>
                <w:rFonts w:hint="eastAsia" w:ascii="宋体" w:hAnsi="宋体" w:eastAsia="宋体" w:cs="宋体"/>
                <w:sz w:val="21"/>
                <w:szCs w:val="21"/>
              </w:rPr>
            </w:pPr>
            <w:r>
              <w:rPr>
                <w:rFonts w:hint="eastAsia" w:ascii="宋体" w:hAnsi="宋体" w:eastAsia="宋体" w:cs="宋体"/>
                <w:sz w:val="21"/>
                <w:szCs w:val="21"/>
              </w:rPr>
              <w:t>25.已补充，见章节7.1-7.3。</w:t>
            </w:r>
          </w:p>
        </w:tc>
      </w:tr>
    </w:tbl>
    <w:p w14:paraId="3DC176F7">
      <w:pPr>
        <w:pStyle w:val="57"/>
        <w:ind w:firstLine="0" w:firstLineChars="0"/>
        <w:rPr>
          <w:rFonts w:hint="eastAsia"/>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1" w:fontKey="{D752AAA5-A60B-436F-B8A4-C619AFEC8C6A}"/>
  </w:font>
  <w:font w:name="仿宋">
    <w:panose1 w:val="02010609060101010101"/>
    <w:charset w:val="86"/>
    <w:family w:val="modern"/>
    <w:pitch w:val="default"/>
    <w:sig w:usb0="800002BF" w:usb1="38CF7CFA" w:usb2="00000016" w:usb3="00000000" w:csb0="00040001" w:csb1="00000000"/>
    <w:embedRegular r:id="rId2" w:fontKey="{84C01913-BE5A-4DC3-963F-86B5C1016336}"/>
  </w:font>
  <w:font w:name="Arial">
    <w:panose1 w:val="020B0604020202020204"/>
    <w:charset w:val="00"/>
    <w:family w:val="swiss"/>
    <w:pitch w:val="default"/>
    <w:sig w:usb0="E0002EFF" w:usb1="C000785B" w:usb2="00000009" w:usb3="00000000" w:csb0="400001FF" w:csb1="FFFF0000"/>
    <w:embedRegular r:id="rId3" w:fontKey="{AF856971-70CB-46CF-B51F-5D79221FCE4B}"/>
  </w:font>
  <w:font w:name="等线">
    <w:panose1 w:val="02010600030101010101"/>
    <w:charset w:val="86"/>
    <w:family w:val="auto"/>
    <w:pitch w:val="default"/>
    <w:sig w:usb0="A00002BF" w:usb1="38CF7CFA" w:usb2="00000016" w:usb3="00000000" w:csb0="0004000F" w:csb1="00000000"/>
  </w:font>
  <w:font w:name="仿宋_GB2312">
    <w:altName w:val="仿宋"/>
    <w:panose1 w:val="00000000000000000000"/>
    <w:charset w:val="86"/>
    <w:family w:val="modern"/>
    <w:pitch w:val="default"/>
    <w:sig w:usb0="00000000" w:usb1="00000000" w:usb2="00000010" w:usb3="00000000" w:csb0="00040000" w:csb1="00000000"/>
    <w:embedRegular r:id="rId4" w:fontKey="{0C9D6ACC-DFEE-4D2C-8882-F6437C268489}"/>
  </w:font>
  <w:font w:name="微软雅黑">
    <w:panose1 w:val="020B0503020204020204"/>
    <w:charset w:val="86"/>
    <w:family w:val="auto"/>
    <w:pitch w:val="default"/>
    <w:sig w:usb0="80000287" w:usb1="2ACF3C50" w:usb2="00000016" w:usb3="00000000" w:csb0="0004001F" w:csb1="00000000"/>
  </w:font>
  <w:font w:name="Calibri Light">
    <w:panose1 w:val="020F0302020204030204"/>
    <w:charset w:val="00"/>
    <w:family w:val="swiss"/>
    <w:pitch w:val="default"/>
    <w:sig w:usb0="E4002EFF" w:usb1="C000247B" w:usb2="00000009" w:usb3="00000000" w:csb0="200001FF" w:csb1="00000000"/>
  </w:font>
  <w:font w:name="Songti SC">
    <w:altName w:val="Segoe Print"/>
    <w:panose1 w:val="00000000000000000000"/>
    <w:charset w:val="00"/>
    <w:family w:val="auto"/>
    <w:pitch w:val="default"/>
    <w:sig w:usb0="00000000" w:usb1="00000000" w:usb2="00000000" w:usb3="00000000" w:csb0="00000000" w:csb1="00000000"/>
    <w:embedRegular r:id="rId5" w:fontKey="{01A03ABA-488E-49F5-8540-83D5F6063F9B}"/>
  </w:font>
  <w:font w:name="Segoe Print">
    <w:panose1 w:val="02000600000000000000"/>
    <w:charset w:val="00"/>
    <w:family w:val="auto"/>
    <w:pitch w:val="default"/>
    <w:sig w:usb0="0000028F" w:usb1="00000000" w:usb2="00000000" w:usb3="00000000" w:csb0="2000009F" w:csb1="4701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8B8273">
    <w:pPr>
      <w:pStyle w:val="23"/>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5432AD">
                          <w:pPr>
                            <w:pStyle w:val="23"/>
                          </w:pPr>
                          <w:r>
                            <w:fldChar w:fldCharType="begin"/>
                          </w:r>
                          <w:r>
                            <w:instrText xml:space="preserve"> PAGE  \* MERGEFORMAT </w:instrText>
                          </w:r>
                          <w:r>
                            <w:fldChar w:fldCharType="separate"/>
                          </w:r>
                          <w:r>
                            <w:t>I</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zXDnwqAgAAV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CLNmWdjqneUROirm&#10;7eoYIGCnaxSlV2LQCtPWdWZ4GXGc/9x3UY9/g+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IzXDnwqAgAAVQQAAA4AAAAAAAAAAQAgAAAAHwEAAGRycy9lMm9Eb2MueG1sUEsFBgAAAAAGAAYA&#10;WQEAALsFAAAAAA==&#10;">
              <v:fill on="f" focussize="0,0"/>
              <v:stroke on="f" weight="0.5pt"/>
              <v:imagedata o:title=""/>
              <o:lock v:ext="edit" aspectratio="f"/>
              <v:textbox inset="0mm,0mm,0mm,0mm" style="mso-fit-shape-to-text:t;">
                <w:txbxContent>
                  <w:p w14:paraId="325432AD">
                    <w:pPr>
                      <w:pStyle w:val="23"/>
                    </w:pPr>
                    <w:r>
                      <w:fldChar w:fldCharType="begin"/>
                    </w:r>
                    <w:r>
                      <w:instrText xml:space="preserve"> PAGE  \* MERGEFORMAT </w:instrText>
                    </w:r>
                    <w:r>
                      <w:fldChar w:fldCharType="separate"/>
                    </w:r>
                    <w:r>
                      <w:t>I</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883098">
    <w:pPr>
      <w:pStyle w:val="23"/>
      <w:ind w:firstLine="360"/>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02E5515">
                          <w:pPr>
                            <w:pStyle w:val="23"/>
                          </w:pPr>
                          <w:r>
                            <w:fldChar w:fldCharType="begin"/>
                          </w:r>
                          <w:r>
                            <w:instrText xml:space="preserve"> PAGE  \* MERGEFORMAT </w:instrText>
                          </w:r>
                          <w:r>
                            <w:fldChar w:fldCharType="separate"/>
                          </w:r>
                          <w:r>
                            <w:t>I</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rd1wwq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Mrd1wwqAgAAVwQAAA4AAAAAAAAAAQAgAAAAHwEAAGRycy9lMm9Eb2MueG1sUEsFBgAAAAAGAAYA&#10;WQEAALsFAAAAAA==&#10;">
              <v:fill on="f" focussize="0,0"/>
              <v:stroke on="f" weight="0.5pt"/>
              <v:imagedata o:title=""/>
              <o:lock v:ext="edit" aspectratio="f"/>
              <v:textbox inset="0mm,0mm,0mm,0mm" style="mso-fit-shape-to-text:t;">
                <w:txbxContent>
                  <w:p w14:paraId="302E5515">
                    <w:pPr>
                      <w:pStyle w:val="23"/>
                    </w:pPr>
                    <w:r>
                      <w:fldChar w:fldCharType="begin"/>
                    </w:r>
                    <w:r>
                      <w:instrText xml:space="preserve"> PAGE  \* MERGEFORMAT </w:instrText>
                    </w:r>
                    <w:r>
                      <w:fldChar w:fldCharType="separate"/>
                    </w:r>
                    <w:r>
                      <w:t>I</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797CA8">
    <w:pPr>
      <w:pStyle w:val="23"/>
      <w:rPr>
        <w:rFonts w:hint="eastAsia" w:ascii="宋体" w:hAnsi="宋体" w:eastAsia="宋体"/>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6EBE56">
                          <w:pPr>
                            <w:pStyle w:val="23"/>
                          </w:pPr>
                          <w:r>
                            <w:fldChar w:fldCharType="begin"/>
                          </w:r>
                          <w:r>
                            <w:instrText xml:space="preserve"> PAGE  \* MERGEFORMAT </w:instrText>
                          </w:r>
                          <w:r>
                            <w:fldChar w:fldCharType="separate"/>
                          </w:r>
                          <w:r>
                            <w:t>I</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p w14:paraId="426EBE56">
                    <w:pPr>
                      <w:pStyle w:val="23"/>
                    </w:pPr>
                    <w:r>
                      <w:fldChar w:fldCharType="begin"/>
                    </w:r>
                    <w:r>
                      <w:instrText xml:space="preserve"> PAGE  \* MERGEFORMAT </w:instrText>
                    </w:r>
                    <w:r>
                      <w:fldChar w:fldCharType="separate"/>
                    </w:r>
                    <w:r>
                      <w:t>I</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496654700"/>
    </w:sdtPr>
    <w:sdtContent>
      <w:p w14:paraId="4CEB7F12">
        <w:pPr>
          <w:pStyle w:val="23"/>
          <w:jc w:val="center"/>
        </w:pPr>
        <w:r>
          <w:fldChar w:fldCharType="begin"/>
        </w:r>
        <w:r>
          <w:instrText xml:space="preserve">PAGE   \* MERGEFORMAT</w:instrText>
        </w:r>
        <w:r>
          <w:fldChar w:fldCharType="separate"/>
        </w:r>
        <w:r>
          <w:rPr>
            <w:lang w:val="zh-CN"/>
          </w:rPr>
          <w:t>2</w:t>
        </w:r>
        <w:r>
          <w:fldChar w:fldCharType="end"/>
        </w: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31556F">
    <w:pPr>
      <w:pStyle w:val="2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0B6EC0">
    <w:pPr>
      <w:pStyle w:val="2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30398D">
    <w:pPr>
      <w:pStyle w:val="2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FA5BC46"/>
    <w:multiLevelType w:val="multilevel"/>
    <w:tmpl w:val="DFA5BC46"/>
    <w:lvl w:ilvl="0" w:tentative="0">
      <w:start w:val="1"/>
      <w:numFmt w:val="decimal"/>
      <w:lvlText w:val="（%1）"/>
      <w:lvlJc w:val="left"/>
      <w:pPr>
        <w:ind w:left="1042" w:hanging="420"/>
      </w:pPr>
      <w:rPr>
        <w:rFonts w:hint="eastAsia"/>
      </w:rPr>
    </w:lvl>
    <w:lvl w:ilvl="1" w:tentative="0">
      <w:start w:val="1"/>
      <w:numFmt w:val="bullet"/>
      <w:lvlText w:val=""/>
      <w:lvlJc w:val="left"/>
      <w:pPr>
        <w:ind w:left="1462" w:hanging="420"/>
      </w:pPr>
      <w:rPr>
        <w:rFonts w:hint="default" w:ascii="Wingdings" w:hAnsi="Wingdings"/>
      </w:rPr>
    </w:lvl>
    <w:lvl w:ilvl="2" w:tentative="0">
      <w:start w:val="1"/>
      <w:numFmt w:val="bullet"/>
      <w:lvlText w:val=""/>
      <w:lvlJc w:val="left"/>
      <w:pPr>
        <w:ind w:left="1882" w:hanging="420"/>
      </w:pPr>
      <w:rPr>
        <w:rFonts w:hint="default" w:ascii="Wingdings" w:hAnsi="Wingdings"/>
      </w:rPr>
    </w:lvl>
    <w:lvl w:ilvl="3" w:tentative="0">
      <w:start w:val="1"/>
      <w:numFmt w:val="bullet"/>
      <w:lvlText w:val=""/>
      <w:lvlJc w:val="left"/>
      <w:pPr>
        <w:ind w:left="2302" w:hanging="420"/>
      </w:pPr>
      <w:rPr>
        <w:rFonts w:hint="default" w:ascii="Wingdings" w:hAnsi="Wingdings"/>
      </w:rPr>
    </w:lvl>
    <w:lvl w:ilvl="4" w:tentative="0">
      <w:start w:val="1"/>
      <w:numFmt w:val="bullet"/>
      <w:lvlText w:val=""/>
      <w:lvlJc w:val="left"/>
      <w:pPr>
        <w:ind w:left="2722" w:hanging="420"/>
      </w:pPr>
      <w:rPr>
        <w:rFonts w:hint="default" w:ascii="Wingdings" w:hAnsi="Wingdings"/>
      </w:rPr>
    </w:lvl>
    <w:lvl w:ilvl="5" w:tentative="0">
      <w:start w:val="1"/>
      <w:numFmt w:val="bullet"/>
      <w:lvlText w:val=""/>
      <w:lvlJc w:val="left"/>
      <w:pPr>
        <w:ind w:left="3142" w:hanging="420"/>
      </w:pPr>
      <w:rPr>
        <w:rFonts w:hint="default" w:ascii="Wingdings" w:hAnsi="Wingdings"/>
      </w:rPr>
    </w:lvl>
    <w:lvl w:ilvl="6" w:tentative="0">
      <w:start w:val="1"/>
      <w:numFmt w:val="bullet"/>
      <w:lvlText w:val=""/>
      <w:lvlJc w:val="left"/>
      <w:pPr>
        <w:ind w:left="3562" w:hanging="420"/>
      </w:pPr>
      <w:rPr>
        <w:rFonts w:hint="default" w:ascii="Wingdings" w:hAnsi="Wingdings"/>
      </w:rPr>
    </w:lvl>
    <w:lvl w:ilvl="7" w:tentative="0">
      <w:start w:val="1"/>
      <w:numFmt w:val="bullet"/>
      <w:lvlText w:val=""/>
      <w:lvlJc w:val="left"/>
      <w:pPr>
        <w:ind w:left="3982" w:hanging="420"/>
      </w:pPr>
      <w:rPr>
        <w:rFonts w:hint="default" w:ascii="Wingdings" w:hAnsi="Wingdings"/>
      </w:rPr>
    </w:lvl>
    <w:lvl w:ilvl="8" w:tentative="0">
      <w:start w:val="1"/>
      <w:numFmt w:val="bullet"/>
      <w:lvlText w:val=""/>
      <w:lvlJc w:val="left"/>
      <w:pPr>
        <w:ind w:left="4402" w:hanging="420"/>
      </w:pPr>
      <w:rPr>
        <w:rFonts w:hint="default" w:ascii="Wingdings" w:hAnsi="Wingdings"/>
      </w:rPr>
    </w:lvl>
  </w:abstractNum>
  <w:abstractNum w:abstractNumId="1">
    <w:nsid w:val="DFE79777"/>
    <w:multiLevelType w:val="multilevel"/>
    <w:tmpl w:val="DFE79777"/>
    <w:lvl w:ilvl="0" w:tentative="0">
      <w:start w:val="1"/>
      <w:numFmt w:val="decimal"/>
      <w:lvlText w:val="（%1）"/>
      <w:lvlJc w:val="left"/>
      <w:pPr>
        <w:ind w:left="1042" w:hanging="420"/>
      </w:pPr>
      <w:rPr>
        <w:rFonts w:hint="eastAsia"/>
      </w:rPr>
    </w:lvl>
    <w:lvl w:ilvl="1" w:tentative="0">
      <w:start w:val="1"/>
      <w:numFmt w:val="bullet"/>
      <w:lvlText w:val=""/>
      <w:lvlJc w:val="left"/>
      <w:pPr>
        <w:ind w:left="1462" w:hanging="420"/>
      </w:pPr>
      <w:rPr>
        <w:rFonts w:hint="default" w:ascii="Wingdings" w:hAnsi="Wingdings"/>
      </w:rPr>
    </w:lvl>
    <w:lvl w:ilvl="2" w:tentative="0">
      <w:start w:val="1"/>
      <w:numFmt w:val="bullet"/>
      <w:lvlText w:val=""/>
      <w:lvlJc w:val="left"/>
      <w:pPr>
        <w:ind w:left="1882" w:hanging="420"/>
      </w:pPr>
      <w:rPr>
        <w:rFonts w:hint="default" w:ascii="Wingdings" w:hAnsi="Wingdings"/>
      </w:rPr>
    </w:lvl>
    <w:lvl w:ilvl="3" w:tentative="0">
      <w:start w:val="1"/>
      <w:numFmt w:val="bullet"/>
      <w:lvlText w:val=""/>
      <w:lvlJc w:val="left"/>
      <w:pPr>
        <w:ind w:left="2302" w:hanging="420"/>
      </w:pPr>
      <w:rPr>
        <w:rFonts w:hint="default" w:ascii="Wingdings" w:hAnsi="Wingdings"/>
      </w:rPr>
    </w:lvl>
    <w:lvl w:ilvl="4" w:tentative="0">
      <w:start w:val="1"/>
      <w:numFmt w:val="bullet"/>
      <w:lvlText w:val=""/>
      <w:lvlJc w:val="left"/>
      <w:pPr>
        <w:ind w:left="2722" w:hanging="420"/>
      </w:pPr>
      <w:rPr>
        <w:rFonts w:hint="default" w:ascii="Wingdings" w:hAnsi="Wingdings"/>
      </w:rPr>
    </w:lvl>
    <w:lvl w:ilvl="5" w:tentative="0">
      <w:start w:val="1"/>
      <w:numFmt w:val="bullet"/>
      <w:lvlText w:val=""/>
      <w:lvlJc w:val="left"/>
      <w:pPr>
        <w:ind w:left="3142" w:hanging="420"/>
      </w:pPr>
      <w:rPr>
        <w:rFonts w:hint="default" w:ascii="Wingdings" w:hAnsi="Wingdings"/>
      </w:rPr>
    </w:lvl>
    <w:lvl w:ilvl="6" w:tentative="0">
      <w:start w:val="1"/>
      <w:numFmt w:val="bullet"/>
      <w:lvlText w:val=""/>
      <w:lvlJc w:val="left"/>
      <w:pPr>
        <w:ind w:left="3562" w:hanging="420"/>
      </w:pPr>
      <w:rPr>
        <w:rFonts w:hint="default" w:ascii="Wingdings" w:hAnsi="Wingdings"/>
      </w:rPr>
    </w:lvl>
    <w:lvl w:ilvl="7" w:tentative="0">
      <w:start w:val="1"/>
      <w:numFmt w:val="bullet"/>
      <w:lvlText w:val=""/>
      <w:lvlJc w:val="left"/>
      <w:pPr>
        <w:ind w:left="3982" w:hanging="420"/>
      </w:pPr>
      <w:rPr>
        <w:rFonts w:hint="default" w:ascii="Wingdings" w:hAnsi="Wingdings"/>
      </w:rPr>
    </w:lvl>
    <w:lvl w:ilvl="8" w:tentative="0">
      <w:start w:val="1"/>
      <w:numFmt w:val="bullet"/>
      <w:lvlText w:val=""/>
      <w:lvlJc w:val="left"/>
      <w:pPr>
        <w:ind w:left="4402" w:hanging="420"/>
      </w:pPr>
      <w:rPr>
        <w:rFonts w:hint="default" w:ascii="Wingdings" w:hAnsi="Wingdings"/>
      </w:rPr>
    </w:lvl>
  </w:abstractNum>
  <w:abstractNum w:abstractNumId="2">
    <w:nsid w:val="EDE88D45"/>
    <w:multiLevelType w:val="singleLevel"/>
    <w:tmpl w:val="EDE88D45"/>
    <w:lvl w:ilvl="0" w:tentative="0">
      <w:start w:val="1"/>
      <w:numFmt w:val="decimal"/>
      <w:lvlText w:val="%1."/>
      <w:lvlJc w:val="left"/>
      <w:pPr>
        <w:ind w:left="425" w:hanging="425"/>
      </w:pPr>
      <w:rPr>
        <w:rFonts w:hint="default"/>
      </w:rPr>
    </w:lvl>
  </w:abstractNum>
  <w:abstractNum w:abstractNumId="3">
    <w:nsid w:val="F02F6351"/>
    <w:multiLevelType w:val="multilevel"/>
    <w:tmpl w:val="F02F6351"/>
    <w:lvl w:ilvl="0" w:tentative="0">
      <w:start w:val="1"/>
      <w:numFmt w:val="chineseCountingThousand"/>
      <w:pStyle w:val="2"/>
      <w:suff w:val="nothing"/>
      <w:lvlText w:val="第%1章 "/>
      <w:lvlJc w:val="left"/>
      <w:pPr>
        <w:ind w:left="0" w:firstLine="0"/>
      </w:pPr>
      <w:rPr>
        <w:rFonts w:hint="eastAsia" w:ascii="宋体" w:hAnsi="仿宋" w:eastAsia="宋体" w:cs="宋体"/>
        <w:b/>
        <w:sz w:val="32"/>
      </w:rPr>
    </w:lvl>
    <w:lvl w:ilvl="1" w:tentative="0">
      <w:start w:val="1"/>
      <w:numFmt w:val="decimal"/>
      <w:pStyle w:val="3"/>
      <w:isLgl/>
      <w:lvlText w:val="%1.%2"/>
      <w:lvlJc w:val="left"/>
      <w:pPr>
        <w:tabs>
          <w:tab w:val="left" w:pos="0"/>
        </w:tabs>
        <w:ind w:left="0" w:firstLine="0"/>
      </w:pPr>
      <w:rPr>
        <w:rFonts w:hint="default" w:ascii="宋体" w:hAnsi="宋体" w:eastAsia="宋体" w:cs="Times New Roman"/>
        <w:b/>
        <w:sz w:val="28"/>
        <w:szCs w:val="28"/>
      </w:rPr>
    </w:lvl>
    <w:lvl w:ilvl="2" w:tentative="0">
      <w:start w:val="1"/>
      <w:numFmt w:val="decimal"/>
      <w:pStyle w:val="6"/>
      <w:isLgl/>
      <w:lvlText w:val="%1.%2.%3"/>
      <w:lvlJc w:val="left"/>
      <w:pPr>
        <w:tabs>
          <w:tab w:val="left" w:pos="0"/>
        </w:tabs>
        <w:ind w:left="0" w:firstLine="0"/>
      </w:pPr>
      <w:rPr>
        <w:rFonts w:hint="default" w:ascii="宋体" w:hAnsi="宋体" w:eastAsia="宋体" w:cs="Times New Roman"/>
        <w:b/>
        <w:sz w:val="24"/>
        <w:szCs w:val="24"/>
      </w:rPr>
    </w:lvl>
    <w:lvl w:ilvl="3" w:tentative="0">
      <w:start w:val="1"/>
      <w:numFmt w:val="decimal"/>
      <w:pStyle w:val="7"/>
      <w:isLgl/>
      <w:lvlText w:val="%1.%2.%3.%4"/>
      <w:lvlJc w:val="left"/>
      <w:pPr>
        <w:tabs>
          <w:tab w:val="left" w:pos="0"/>
        </w:tabs>
        <w:ind w:left="0" w:firstLine="0"/>
      </w:pPr>
      <w:rPr>
        <w:rFonts w:hint="default" w:ascii="宋体" w:hAnsi="宋体" w:eastAsia="宋体" w:cs="Times New Roman"/>
        <w:b w:val="0"/>
        <w:bCs/>
        <w:sz w:val="24"/>
        <w:szCs w:val="24"/>
      </w:rPr>
    </w:lvl>
    <w:lvl w:ilvl="4" w:tentative="0">
      <w:start w:val="1"/>
      <w:numFmt w:val="decimal"/>
      <w:pStyle w:val="8"/>
      <w:isLgl/>
      <w:lvlText w:val="%1.%2.%3.%4.%5"/>
      <w:lvlJc w:val="left"/>
      <w:pPr>
        <w:tabs>
          <w:tab w:val="left" w:pos="0"/>
        </w:tabs>
        <w:ind w:left="0" w:firstLine="0"/>
      </w:pPr>
      <w:rPr>
        <w:rFonts w:hint="default" w:ascii="宋体" w:hAnsi="宋体" w:eastAsia="宋体" w:cs="Times New Roman"/>
        <w:b w:val="0"/>
        <w:bCs w:val="0"/>
        <w:sz w:val="24"/>
        <w:szCs w:val="24"/>
      </w:rPr>
    </w:lvl>
    <w:lvl w:ilvl="5" w:tentative="0">
      <w:start w:val="1"/>
      <w:numFmt w:val="decimal"/>
      <w:pStyle w:val="9"/>
      <w:isLgl/>
      <w:lvlText w:val="%1.%2.%3.%4.%5.%6"/>
      <w:lvlJc w:val="left"/>
      <w:pPr>
        <w:tabs>
          <w:tab w:val="left" w:pos="0"/>
        </w:tabs>
        <w:ind w:left="0" w:firstLine="0"/>
      </w:pPr>
      <w:rPr>
        <w:rFonts w:hint="eastAsia" w:ascii="宋体" w:hAnsi="宋体" w:eastAsia="宋体" w:cs="宋体"/>
        <w:b/>
        <w:sz w:val="24"/>
      </w:rPr>
    </w:lvl>
    <w:lvl w:ilvl="6" w:tentative="0">
      <w:start w:val="1"/>
      <w:numFmt w:val="decimal"/>
      <w:pStyle w:val="10"/>
      <w:isLgl/>
      <w:lvlText w:val="%1.%2.%3.%4.%5.%6.%7"/>
      <w:lvlJc w:val="left"/>
      <w:pPr>
        <w:tabs>
          <w:tab w:val="left" w:pos="0"/>
        </w:tabs>
        <w:ind w:left="0" w:firstLine="0"/>
      </w:pPr>
      <w:rPr>
        <w:rFonts w:hint="eastAsia" w:ascii="宋体" w:hAnsi="宋体" w:eastAsia="宋体" w:cs="宋体"/>
        <w:b/>
        <w:sz w:val="24"/>
      </w:rPr>
    </w:lvl>
    <w:lvl w:ilvl="7" w:tentative="0">
      <w:start w:val="1"/>
      <w:numFmt w:val="decimal"/>
      <w:pStyle w:val="11"/>
      <w:isLgl/>
      <w:lvlText w:val="%1.%2.%3.%4.%5.%6.%7.%8"/>
      <w:lvlJc w:val="left"/>
      <w:pPr>
        <w:ind w:left="1440" w:hanging="1440"/>
      </w:pPr>
      <w:rPr>
        <w:rFonts w:hint="eastAsia"/>
      </w:rPr>
    </w:lvl>
    <w:lvl w:ilvl="8" w:tentative="0">
      <w:start w:val="1"/>
      <w:numFmt w:val="decimal"/>
      <w:pStyle w:val="12"/>
      <w:isLgl/>
      <w:lvlText w:val="%1.%2.%3.%4.%5.%6.%7.%8.%9"/>
      <w:lvlJc w:val="left"/>
      <w:pPr>
        <w:ind w:left="1583" w:hanging="1583"/>
      </w:pPr>
      <w:rPr>
        <w:rFonts w:hint="eastAsia"/>
      </w:rPr>
    </w:lvl>
  </w:abstractNum>
  <w:abstractNum w:abstractNumId="4">
    <w:nsid w:val="F3DE73A9"/>
    <w:multiLevelType w:val="singleLevel"/>
    <w:tmpl w:val="F3DE73A9"/>
    <w:lvl w:ilvl="0" w:tentative="0">
      <w:start w:val="1"/>
      <w:numFmt w:val="decimal"/>
      <w:suff w:val="nothing"/>
      <w:lvlText w:val="%1．"/>
      <w:lvlJc w:val="left"/>
      <w:pPr>
        <w:ind w:left="0" w:firstLine="400"/>
      </w:pPr>
      <w:rPr>
        <w:rFonts w:hint="default"/>
      </w:rPr>
    </w:lvl>
  </w:abstractNum>
  <w:abstractNum w:abstractNumId="5">
    <w:nsid w:val="F5FD79D5"/>
    <w:multiLevelType w:val="singleLevel"/>
    <w:tmpl w:val="F5FD79D5"/>
    <w:lvl w:ilvl="0" w:tentative="0">
      <w:start w:val="1"/>
      <w:numFmt w:val="decimal"/>
      <w:pStyle w:val="74"/>
      <w:lvlText w:val="%1."/>
      <w:lvlJc w:val="left"/>
      <w:pPr>
        <w:tabs>
          <w:tab w:val="left" w:pos="312"/>
        </w:tabs>
      </w:pPr>
    </w:lvl>
  </w:abstractNum>
  <w:abstractNum w:abstractNumId="6">
    <w:nsid w:val="0A4F2A04"/>
    <w:multiLevelType w:val="multilevel"/>
    <w:tmpl w:val="0A4F2A04"/>
    <w:lvl w:ilvl="0" w:tentative="0">
      <w:start w:val="1"/>
      <w:numFmt w:val="decimal"/>
      <w:lvlText w:val="(%1)"/>
      <w:lvlJc w:val="left"/>
      <w:pPr>
        <w:ind w:left="284" w:firstLine="283"/>
      </w:pPr>
      <w:rPr>
        <w:rFonts w:hint="eastAsia"/>
        <w:b w:val="0"/>
        <w:bCs w:val="0"/>
        <w:lang w:val="en-US"/>
      </w:rPr>
    </w:lvl>
    <w:lvl w:ilvl="1" w:tentative="0">
      <w:start w:val="1"/>
      <w:numFmt w:val="lowerLetter"/>
      <w:lvlText w:val="%2)"/>
      <w:lvlJc w:val="left"/>
      <w:pPr>
        <w:ind w:left="273" w:hanging="420"/>
      </w:pPr>
      <w:rPr>
        <w:rFonts w:hint="eastAsia"/>
      </w:rPr>
    </w:lvl>
    <w:lvl w:ilvl="2" w:tentative="0">
      <w:start w:val="1"/>
      <w:numFmt w:val="lowerRoman"/>
      <w:lvlText w:val="%3."/>
      <w:lvlJc w:val="right"/>
      <w:pPr>
        <w:ind w:left="693" w:hanging="420"/>
      </w:pPr>
      <w:rPr>
        <w:rFonts w:hint="eastAsia"/>
      </w:rPr>
    </w:lvl>
    <w:lvl w:ilvl="3" w:tentative="0">
      <w:start w:val="1"/>
      <w:numFmt w:val="decimal"/>
      <w:lvlText w:val="%4."/>
      <w:lvlJc w:val="left"/>
      <w:pPr>
        <w:ind w:left="1113" w:hanging="420"/>
      </w:pPr>
      <w:rPr>
        <w:rFonts w:hint="eastAsia"/>
      </w:rPr>
    </w:lvl>
    <w:lvl w:ilvl="4" w:tentative="0">
      <w:start w:val="1"/>
      <w:numFmt w:val="lowerLetter"/>
      <w:lvlText w:val="%5)"/>
      <w:lvlJc w:val="left"/>
      <w:pPr>
        <w:ind w:left="1533" w:hanging="420"/>
      </w:pPr>
      <w:rPr>
        <w:rFonts w:hint="eastAsia"/>
      </w:rPr>
    </w:lvl>
    <w:lvl w:ilvl="5" w:tentative="0">
      <w:start w:val="1"/>
      <w:numFmt w:val="lowerRoman"/>
      <w:lvlText w:val="%6."/>
      <w:lvlJc w:val="right"/>
      <w:pPr>
        <w:ind w:left="1953" w:hanging="420"/>
      </w:pPr>
      <w:rPr>
        <w:rFonts w:hint="eastAsia"/>
      </w:rPr>
    </w:lvl>
    <w:lvl w:ilvl="6" w:tentative="0">
      <w:start w:val="1"/>
      <w:numFmt w:val="decimal"/>
      <w:lvlText w:val="%7."/>
      <w:lvlJc w:val="left"/>
      <w:pPr>
        <w:ind w:left="2373" w:hanging="420"/>
      </w:pPr>
      <w:rPr>
        <w:rFonts w:hint="eastAsia"/>
      </w:rPr>
    </w:lvl>
    <w:lvl w:ilvl="7" w:tentative="0">
      <w:start w:val="1"/>
      <w:numFmt w:val="lowerLetter"/>
      <w:lvlText w:val="%8)"/>
      <w:lvlJc w:val="left"/>
      <w:pPr>
        <w:ind w:left="2793" w:hanging="420"/>
      </w:pPr>
      <w:rPr>
        <w:rFonts w:hint="eastAsia"/>
      </w:rPr>
    </w:lvl>
    <w:lvl w:ilvl="8" w:tentative="0">
      <w:start w:val="1"/>
      <w:numFmt w:val="lowerRoman"/>
      <w:lvlText w:val="%9."/>
      <w:lvlJc w:val="right"/>
      <w:pPr>
        <w:ind w:left="3213" w:hanging="420"/>
      </w:pPr>
      <w:rPr>
        <w:rFonts w:hint="eastAsia"/>
      </w:rPr>
    </w:lvl>
  </w:abstractNum>
  <w:abstractNum w:abstractNumId="7">
    <w:nsid w:val="0D953270"/>
    <w:multiLevelType w:val="multilevel"/>
    <w:tmpl w:val="0D953270"/>
    <w:lvl w:ilvl="0" w:tentative="0">
      <w:start w:val="1"/>
      <w:numFmt w:val="decimal"/>
      <w:lvlText w:val="(%1)"/>
      <w:lvlJc w:val="left"/>
      <w:pPr>
        <w:ind w:left="920" w:hanging="440"/>
      </w:pPr>
      <w:rPr>
        <w:rFonts w:hint="eastAsia"/>
      </w:rPr>
    </w:lvl>
    <w:lvl w:ilvl="1" w:tentative="0">
      <w:start w:val="1"/>
      <w:numFmt w:val="decimal"/>
      <w:lvlText w:val="(%2)"/>
      <w:lvlJc w:val="left"/>
      <w:pPr>
        <w:ind w:left="920" w:hanging="440"/>
      </w:pPr>
      <w:rPr>
        <w:rFonts w:hint="eastAsia"/>
      </w:r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8">
    <w:nsid w:val="119B2BD8"/>
    <w:multiLevelType w:val="multilevel"/>
    <w:tmpl w:val="119B2BD8"/>
    <w:lvl w:ilvl="0" w:tentative="0">
      <w:start w:val="1"/>
      <w:numFmt w:val="decimal"/>
      <w:lvlText w:val="%1、"/>
      <w:lvlJc w:val="left"/>
      <w:pPr>
        <w:ind w:left="920" w:hanging="440"/>
      </w:pPr>
      <w:rPr>
        <w:rFonts w:hint="eastAsia"/>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9">
    <w:nsid w:val="125C7EAC"/>
    <w:multiLevelType w:val="multilevel"/>
    <w:tmpl w:val="125C7EAC"/>
    <w:lvl w:ilvl="0" w:tentative="0">
      <w:start w:val="1"/>
      <w:numFmt w:val="decimal"/>
      <w:lvlText w:val="%1."/>
      <w:lvlJc w:val="left"/>
      <w:pPr>
        <w:tabs>
          <w:tab w:val="left" w:pos="0"/>
        </w:tabs>
        <w:ind w:left="0" w:firstLine="0"/>
      </w:pPr>
      <w:rPr>
        <w:rFonts w:hint="eastAsia"/>
      </w:rPr>
    </w:lvl>
    <w:lvl w:ilvl="1" w:tentative="0">
      <w:start w:val="1"/>
      <w:numFmt w:val="decimal"/>
      <w:pStyle w:val="4"/>
      <w:lvlText w:val="%1.%2"/>
      <w:lvlJc w:val="left"/>
      <w:pPr>
        <w:tabs>
          <w:tab w:val="left" w:pos="0"/>
        </w:tabs>
        <w:ind w:left="0" w:firstLine="0"/>
      </w:pPr>
      <w:rPr>
        <w:rFonts w:hint="eastAsia"/>
      </w:rPr>
    </w:lvl>
    <w:lvl w:ilvl="2" w:tentative="0">
      <w:start w:val="1"/>
      <w:numFmt w:val="decimal"/>
      <w:lvlText w:val="%1.%2.%3"/>
      <w:lvlJc w:val="left"/>
      <w:pPr>
        <w:tabs>
          <w:tab w:val="left" w:pos="0"/>
        </w:tabs>
        <w:ind w:left="0" w:firstLine="0"/>
      </w:pPr>
      <w:rPr>
        <w:rFonts w:hint="eastAsia"/>
      </w:rPr>
    </w:lvl>
    <w:lvl w:ilvl="3" w:tentative="0">
      <w:start w:val="1"/>
      <w:numFmt w:val="decimal"/>
      <w:isLgl/>
      <w:lvlText w:val="%1.%2.%3.%4"/>
      <w:lvlJc w:val="left"/>
      <w:pPr>
        <w:tabs>
          <w:tab w:val="left" w:pos="0"/>
        </w:tabs>
        <w:ind w:left="0" w:firstLine="0"/>
      </w:pPr>
      <w:rPr>
        <w:rFonts w:hint="eastAsia"/>
      </w:rPr>
    </w:lvl>
    <w:lvl w:ilvl="4" w:tentative="0">
      <w:start w:val="1"/>
      <w:numFmt w:val="decimal"/>
      <w:lvlText w:val="%1.%2.%3.%4.%5"/>
      <w:lvlJc w:val="left"/>
      <w:pPr>
        <w:tabs>
          <w:tab w:val="left" w:pos="0"/>
        </w:tabs>
        <w:ind w:left="0" w:firstLine="0"/>
      </w:pPr>
      <w:rPr>
        <w:rFonts w:hint="eastAsia"/>
      </w:rPr>
    </w:lvl>
    <w:lvl w:ilvl="5" w:tentative="0">
      <w:start w:val="1"/>
      <w:numFmt w:val="decimal"/>
      <w:lvlText w:val="（%6）"/>
      <w:lvlJc w:val="left"/>
      <w:pPr>
        <w:tabs>
          <w:tab w:val="left" w:pos="0"/>
        </w:tabs>
        <w:ind w:left="0" w:firstLine="0"/>
      </w:pPr>
      <w:rPr>
        <w:rFonts w:hint="eastAsia"/>
      </w:rPr>
    </w:lvl>
    <w:lvl w:ilvl="6" w:tentative="0">
      <w:start w:val="1"/>
      <w:numFmt w:val="decimal"/>
      <w:lvlText w:val="%1.%2.%3.%4.%5.%6.%7."/>
      <w:lvlJc w:val="left"/>
      <w:pPr>
        <w:tabs>
          <w:tab w:val="left" w:pos="0"/>
        </w:tabs>
        <w:ind w:left="1276" w:hanging="1276"/>
      </w:pPr>
      <w:rPr>
        <w:rFonts w:hint="eastAsia"/>
      </w:rPr>
    </w:lvl>
    <w:lvl w:ilvl="7" w:tentative="0">
      <w:start w:val="1"/>
      <w:numFmt w:val="decimal"/>
      <w:lvlText w:val="%1.%2.%3.%4.%5.%6.%7.%8."/>
      <w:lvlJc w:val="left"/>
      <w:pPr>
        <w:tabs>
          <w:tab w:val="left" w:pos="0"/>
        </w:tabs>
        <w:ind w:left="1418" w:hanging="1418"/>
      </w:pPr>
      <w:rPr>
        <w:rFonts w:hint="eastAsia"/>
      </w:rPr>
    </w:lvl>
    <w:lvl w:ilvl="8" w:tentative="0">
      <w:start w:val="1"/>
      <w:numFmt w:val="decimal"/>
      <w:lvlText w:val="%1.%2.%3.%4.%5.%6.%7.%8.%9."/>
      <w:lvlJc w:val="left"/>
      <w:pPr>
        <w:tabs>
          <w:tab w:val="left" w:pos="0"/>
        </w:tabs>
        <w:ind w:left="1559" w:hanging="1559"/>
      </w:pPr>
      <w:rPr>
        <w:rFonts w:hint="eastAsia"/>
      </w:rPr>
    </w:lvl>
  </w:abstractNum>
  <w:abstractNum w:abstractNumId="10">
    <w:nsid w:val="12FC71E7"/>
    <w:multiLevelType w:val="multilevel"/>
    <w:tmpl w:val="12FC71E7"/>
    <w:lvl w:ilvl="0" w:tentative="0">
      <w:start w:val="1"/>
      <w:numFmt w:val="bullet"/>
      <w:lvlText w:val=""/>
      <w:lvlJc w:val="left"/>
      <w:pPr>
        <w:ind w:left="1260" w:hanging="420"/>
      </w:pPr>
      <w:rPr>
        <w:rFonts w:hint="default" w:ascii="Wingdings" w:hAnsi="Wingdings"/>
        <w:color w:val="auto"/>
        <w:sz w:val="21"/>
        <w:szCs w:val="21"/>
      </w:r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11">
    <w:nsid w:val="142D422B"/>
    <w:multiLevelType w:val="multilevel"/>
    <w:tmpl w:val="142D422B"/>
    <w:lvl w:ilvl="0" w:tentative="0">
      <w:start w:val="1"/>
      <w:numFmt w:val="decimal"/>
      <w:lvlText w:val="(%1)"/>
      <w:lvlJc w:val="left"/>
      <w:pPr>
        <w:ind w:left="920" w:hanging="440"/>
      </w:pPr>
      <w:rPr>
        <w:rFonts w:hint="eastAsia"/>
      </w:rPr>
    </w:lvl>
    <w:lvl w:ilvl="1" w:tentative="0">
      <w:start w:val="1"/>
      <w:numFmt w:val="lowerLetter"/>
      <w:lvlText w:val="%2)"/>
      <w:lvlJc w:val="left"/>
      <w:pPr>
        <w:ind w:left="1360" w:hanging="440"/>
      </w:pPr>
    </w:lvl>
    <w:lvl w:ilvl="2" w:tentative="0">
      <w:start w:val="1"/>
      <w:numFmt w:val="decimal"/>
      <w:lvlText w:val="(%3)"/>
      <w:lvlJc w:val="left"/>
      <w:pPr>
        <w:ind w:left="920" w:hanging="440"/>
      </w:pPr>
      <w:rPr>
        <w:rFonts w:hint="eastAsia"/>
      </w:r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12">
    <w:nsid w:val="148A2112"/>
    <w:multiLevelType w:val="multilevel"/>
    <w:tmpl w:val="148A2112"/>
    <w:lvl w:ilvl="0" w:tentative="0">
      <w:start w:val="1"/>
      <w:numFmt w:val="decimal"/>
      <w:lvlText w:val="(%1)"/>
      <w:lvlJc w:val="left"/>
      <w:pPr>
        <w:ind w:left="920" w:hanging="440"/>
      </w:pPr>
      <w:rPr>
        <w:rFonts w:hint="eastAsia"/>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13">
    <w:nsid w:val="156B208F"/>
    <w:multiLevelType w:val="singleLevel"/>
    <w:tmpl w:val="156B208F"/>
    <w:lvl w:ilvl="0" w:tentative="0">
      <w:start w:val="1"/>
      <w:numFmt w:val="bullet"/>
      <w:lvlText w:val=""/>
      <w:lvlJc w:val="left"/>
      <w:pPr>
        <w:ind w:left="420" w:hanging="420"/>
      </w:pPr>
      <w:rPr>
        <w:rFonts w:hint="default" w:ascii="Wingdings" w:hAnsi="Wingdings"/>
      </w:rPr>
    </w:lvl>
  </w:abstractNum>
  <w:abstractNum w:abstractNumId="14">
    <w:nsid w:val="161B2F7D"/>
    <w:multiLevelType w:val="multilevel"/>
    <w:tmpl w:val="161B2F7D"/>
    <w:lvl w:ilvl="0" w:tentative="0">
      <w:start w:val="1"/>
      <w:numFmt w:val="decimal"/>
      <w:lvlText w:val="%1、"/>
      <w:lvlJc w:val="left"/>
      <w:pPr>
        <w:ind w:left="920" w:hanging="440"/>
      </w:pPr>
      <w:rPr>
        <w:rFonts w:hint="eastAsia"/>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15">
    <w:nsid w:val="16CE130B"/>
    <w:multiLevelType w:val="multilevel"/>
    <w:tmpl w:val="16CE130B"/>
    <w:lvl w:ilvl="0" w:tentative="0">
      <w:start w:val="1"/>
      <w:numFmt w:val="decimal"/>
      <w:lvlText w:val="(%1)"/>
      <w:lvlJc w:val="left"/>
      <w:pPr>
        <w:ind w:left="920" w:hanging="440"/>
      </w:pPr>
      <w:rPr>
        <w:rFonts w:hint="eastAsia"/>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16">
    <w:nsid w:val="170D12AF"/>
    <w:multiLevelType w:val="multilevel"/>
    <w:tmpl w:val="170D12AF"/>
    <w:lvl w:ilvl="0" w:tentative="0">
      <w:start w:val="1"/>
      <w:numFmt w:val="decimal"/>
      <w:lvlText w:val="(%1)"/>
      <w:lvlJc w:val="left"/>
      <w:pPr>
        <w:ind w:left="920" w:hanging="440"/>
      </w:pPr>
      <w:rPr>
        <w:rFonts w:hint="eastAsia"/>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17">
    <w:nsid w:val="1D311DD4"/>
    <w:multiLevelType w:val="multilevel"/>
    <w:tmpl w:val="1D311DD4"/>
    <w:lvl w:ilvl="0" w:tentative="0">
      <w:start w:val="1"/>
      <w:numFmt w:val="decimal"/>
      <w:lvlText w:val="%1、"/>
      <w:lvlJc w:val="left"/>
      <w:pPr>
        <w:ind w:left="920" w:hanging="440"/>
      </w:pPr>
      <w:rPr>
        <w:rFonts w:hint="eastAsia"/>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18">
    <w:nsid w:val="20256477"/>
    <w:multiLevelType w:val="multilevel"/>
    <w:tmpl w:val="20256477"/>
    <w:lvl w:ilvl="0" w:tentative="0">
      <w:start w:val="1"/>
      <w:numFmt w:val="decimal"/>
      <w:lvlText w:val="(%1)"/>
      <w:lvlJc w:val="left"/>
      <w:pPr>
        <w:ind w:left="1000" w:hanging="440"/>
      </w:pPr>
      <w:rPr>
        <w:rFonts w:hint="eastAsia"/>
      </w:rPr>
    </w:lvl>
    <w:lvl w:ilvl="1" w:tentative="0">
      <w:start w:val="1"/>
      <w:numFmt w:val="lowerLetter"/>
      <w:lvlText w:val="%2)"/>
      <w:lvlJc w:val="left"/>
      <w:pPr>
        <w:ind w:left="1440" w:hanging="440"/>
      </w:pPr>
    </w:lvl>
    <w:lvl w:ilvl="2" w:tentative="0">
      <w:start w:val="1"/>
      <w:numFmt w:val="lowerRoman"/>
      <w:lvlText w:val="%3."/>
      <w:lvlJc w:val="right"/>
      <w:pPr>
        <w:ind w:left="1880" w:hanging="440"/>
      </w:pPr>
    </w:lvl>
    <w:lvl w:ilvl="3" w:tentative="0">
      <w:start w:val="1"/>
      <w:numFmt w:val="decimal"/>
      <w:lvlText w:val="%4."/>
      <w:lvlJc w:val="left"/>
      <w:pPr>
        <w:ind w:left="2320" w:hanging="440"/>
      </w:pPr>
    </w:lvl>
    <w:lvl w:ilvl="4" w:tentative="0">
      <w:start w:val="1"/>
      <w:numFmt w:val="lowerLetter"/>
      <w:lvlText w:val="%5)"/>
      <w:lvlJc w:val="left"/>
      <w:pPr>
        <w:ind w:left="2760" w:hanging="440"/>
      </w:pPr>
    </w:lvl>
    <w:lvl w:ilvl="5" w:tentative="0">
      <w:start w:val="1"/>
      <w:numFmt w:val="lowerRoman"/>
      <w:lvlText w:val="%6."/>
      <w:lvlJc w:val="right"/>
      <w:pPr>
        <w:ind w:left="3200" w:hanging="440"/>
      </w:pPr>
    </w:lvl>
    <w:lvl w:ilvl="6" w:tentative="0">
      <w:start w:val="1"/>
      <w:numFmt w:val="decimal"/>
      <w:lvlText w:val="%7."/>
      <w:lvlJc w:val="left"/>
      <w:pPr>
        <w:ind w:left="3640" w:hanging="440"/>
      </w:pPr>
    </w:lvl>
    <w:lvl w:ilvl="7" w:tentative="0">
      <w:start w:val="1"/>
      <w:numFmt w:val="lowerLetter"/>
      <w:lvlText w:val="%8)"/>
      <w:lvlJc w:val="left"/>
      <w:pPr>
        <w:ind w:left="4080" w:hanging="440"/>
      </w:pPr>
    </w:lvl>
    <w:lvl w:ilvl="8" w:tentative="0">
      <w:start w:val="1"/>
      <w:numFmt w:val="lowerRoman"/>
      <w:lvlText w:val="%9."/>
      <w:lvlJc w:val="right"/>
      <w:pPr>
        <w:ind w:left="4520" w:hanging="440"/>
      </w:pPr>
    </w:lvl>
  </w:abstractNum>
  <w:abstractNum w:abstractNumId="19">
    <w:nsid w:val="21405114"/>
    <w:multiLevelType w:val="multilevel"/>
    <w:tmpl w:val="21405114"/>
    <w:lvl w:ilvl="0" w:tentative="0">
      <w:start w:val="1"/>
      <w:numFmt w:val="decimal"/>
      <w:lvlText w:val="（%1)"/>
      <w:lvlJc w:val="left"/>
      <w:pPr>
        <w:ind w:left="920" w:hanging="440"/>
      </w:pPr>
      <w:rPr>
        <w:rFonts w:hint="eastAsia"/>
      </w:rPr>
    </w:lvl>
    <w:lvl w:ilvl="1" w:tentative="0">
      <w:start w:val="1"/>
      <w:numFmt w:val="lowerLetter"/>
      <w:lvlText w:val="%2)"/>
      <w:lvlJc w:val="left"/>
      <w:pPr>
        <w:ind w:left="1360" w:hanging="440"/>
      </w:pPr>
    </w:lvl>
    <w:lvl w:ilvl="2" w:tentative="0">
      <w:start w:val="1"/>
      <w:numFmt w:val="decimal"/>
      <w:lvlText w:val="(%3)"/>
      <w:lvlJc w:val="left"/>
      <w:pPr>
        <w:ind w:left="920" w:hanging="440"/>
      </w:pPr>
      <w:rPr>
        <w:rFonts w:hint="eastAsia"/>
      </w:r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20">
    <w:nsid w:val="22A41496"/>
    <w:multiLevelType w:val="multilevel"/>
    <w:tmpl w:val="22A41496"/>
    <w:lvl w:ilvl="0" w:tentative="0">
      <w:start w:val="1"/>
      <w:numFmt w:val="decimal"/>
      <w:lvlText w:val="%1、"/>
      <w:lvlJc w:val="left"/>
      <w:pPr>
        <w:ind w:left="920" w:hanging="440"/>
      </w:pPr>
      <w:rPr>
        <w:rFonts w:hint="eastAsia"/>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21">
    <w:nsid w:val="22B47B7D"/>
    <w:multiLevelType w:val="multilevel"/>
    <w:tmpl w:val="22B47B7D"/>
    <w:lvl w:ilvl="0" w:tentative="0">
      <w:start w:val="1"/>
      <w:numFmt w:val="decimal"/>
      <w:lvlText w:val="%1、"/>
      <w:lvlJc w:val="left"/>
      <w:pPr>
        <w:ind w:left="920" w:hanging="440"/>
      </w:pPr>
      <w:rPr>
        <w:rFonts w:hint="eastAsia"/>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22">
    <w:nsid w:val="272B550F"/>
    <w:multiLevelType w:val="multilevel"/>
    <w:tmpl w:val="272B550F"/>
    <w:lvl w:ilvl="0" w:tentative="0">
      <w:start w:val="1"/>
      <w:numFmt w:val="decimal"/>
      <w:lvlText w:val="%1、"/>
      <w:lvlJc w:val="left"/>
      <w:pPr>
        <w:ind w:left="920" w:hanging="440"/>
      </w:pPr>
      <w:rPr>
        <w:rFonts w:hint="eastAsia"/>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23">
    <w:nsid w:val="29A84FF2"/>
    <w:multiLevelType w:val="multilevel"/>
    <w:tmpl w:val="29A84FF2"/>
    <w:lvl w:ilvl="0" w:tentative="0">
      <w:start w:val="1"/>
      <w:numFmt w:val="decimal"/>
      <w:lvlText w:val="(%1)"/>
      <w:lvlJc w:val="left"/>
      <w:pPr>
        <w:ind w:left="920" w:hanging="440"/>
      </w:pPr>
      <w:rPr>
        <w:rFonts w:hint="eastAsia"/>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24">
    <w:nsid w:val="2A5707F1"/>
    <w:multiLevelType w:val="multilevel"/>
    <w:tmpl w:val="2A5707F1"/>
    <w:lvl w:ilvl="0" w:tentative="0">
      <w:start w:val="1"/>
      <w:numFmt w:val="decimal"/>
      <w:lvlText w:val="(%1)"/>
      <w:lvlJc w:val="left"/>
      <w:pPr>
        <w:ind w:left="920" w:hanging="440"/>
      </w:pPr>
      <w:rPr>
        <w:rFonts w:hint="eastAsia"/>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25">
    <w:nsid w:val="2CFD30BE"/>
    <w:multiLevelType w:val="multilevel"/>
    <w:tmpl w:val="2CFD30BE"/>
    <w:lvl w:ilvl="0" w:tentative="0">
      <w:start w:val="1"/>
      <w:numFmt w:val="decimal"/>
      <w:pStyle w:val="65"/>
      <w:suff w:val="space"/>
      <w:lvlText w:val="（%1）"/>
      <w:lvlJc w:val="left"/>
      <w:pPr>
        <w:ind w:left="284" w:firstLine="283"/>
      </w:pPr>
      <w:rPr>
        <w:rFonts w:hint="default" w:ascii="仿宋" w:hAnsi="仿宋" w:eastAsia="仿宋"/>
        <w:b w:val="0"/>
        <w:bCs w:val="0"/>
        <w:lang w:val="en-US"/>
      </w:rPr>
    </w:lvl>
    <w:lvl w:ilvl="1" w:tentative="0">
      <w:start w:val="1"/>
      <w:numFmt w:val="lowerLetter"/>
      <w:lvlText w:val="%2)"/>
      <w:lvlJc w:val="left"/>
      <w:pPr>
        <w:ind w:left="273" w:hanging="420"/>
      </w:pPr>
      <w:rPr>
        <w:rFonts w:hint="eastAsia"/>
      </w:rPr>
    </w:lvl>
    <w:lvl w:ilvl="2" w:tentative="0">
      <w:start w:val="1"/>
      <w:numFmt w:val="lowerRoman"/>
      <w:lvlText w:val="%3."/>
      <w:lvlJc w:val="right"/>
      <w:pPr>
        <w:ind w:left="693" w:hanging="420"/>
      </w:pPr>
      <w:rPr>
        <w:rFonts w:hint="eastAsia"/>
      </w:rPr>
    </w:lvl>
    <w:lvl w:ilvl="3" w:tentative="0">
      <w:start w:val="1"/>
      <w:numFmt w:val="decimal"/>
      <w:lvlText w:val="%4."/>
      <w:lvlJc w:val="left"/>
      <w:pPr>
        <w:ind w:left="1113" w:hanging="420"/>
      </w:pPr>
      <w:rPr>
        <w:rFonts w:hint="eastAsia"/>
      </w:rPr>
    </w:lvl>
    <w:lvl w:ilvl="4" w:tentative="0">
      <w:start w:val="1"/>
      <w:numFmt w:val="lowerLetter"/>
      <w:lvlText w:val="%5)"/>
      <w:lvlJc w:val="left"/>
      <w:pPr>
        <w:ind w:left="1533" w:hanging="420"/>
      </w:pPr>
      <w:rPr>
        <w:rFonts w:hint="eastAsia"/>
      </w:rPr>
    </w:lvl>
    <w:lvl w:ilvl="5" w:tentative="0">
      <w:start w:val="1"/>
      <w:numFmt w:val="lowerRoman"/>
      <w:lvlText w:val="%6."/>
      <w:lvlJc w:val="right"/>
      <w:pPr>
        <w:ind w:left="1953" w:hanging="420"/>
      </w:pPr>
      <w:rPr>
        <w:rFonts w:hint="eastAsia"/>
      </w:rPr>
    </w:lvl>
    <w:lvl w:ilvl="6" w:tentative="0">
      <w:start w:val="1"/>
      <w:numFmt w:val="decimal"/>
      <w:lvlText w:val="%7."/>
      <w:lvlJc w:val="left"/>
      <w:pPr>
        <w:ind w:left="2373" w:hanging="420"/>
      </w:pPr>
      <w:rPr>
        <w:rFonts w:hint="eastAsia"/>
      </w:rPr>
    </w:lvl>
    <w:lvl w:ilvl="7" w:tentative="0">
      <w:start w:val="1"/>
      <w:numFmt w:val="lowerLetter"/>
      <w:lvlText w:val="%8)"/>
      <w:lvlJc w:val="left"/>
      <w:pPr>
        <w:ind w:left="2793" w:hanging="420"/>
      </w:pPr>
      <w:rPr>
        <w:rFonts w:hint="eastAsia"/>
      </w:rPr>
    </w:lvl>
    <w:lvl w:ilvl="8" w:tentative="0">
      <w:start w:val="1"/>
      <w:numFmt w:val="lowerRoman"/>
      <w:lvlText w:val="%9."/>
      <w:lvlJc w:val="right"/>
      <w:pPr>
        <w:ind w:left="3213" w:hanging="420"/>
      </w:pPr>
      <w:rPr>
        <w:rFonts w:hint="eastAsia"/>
      </w:rPr>
    </w:lvl>
  </w:abstractNum>
  <w:abstractNum w:abstractNumId="26">
    <w:nsid w:val="2DD87AAF"/>
    <w:multiLevelType w:val="multilevel"/>
    <w:tmpl w:val="2DD87AAF"/>
    <w:lvl w:ilvl="0" w:tentative="0">
      <w:start w:val="1"/>
      <w:numFmt w:val="decimal"/>
      <w:lvlText w:val="(%1)"/>
      <w:lvlJc w:val="left"/>
      <w:pPr>
        <w:ind w:left="920" w:hanging="440"/>
      </w:pPr>
      <w:rPr>
        <w:rFonts w:hint="eastAsia"/>
      </w:rPr>
    </w:lvl>
    <w:lvl w:ilvl="1" w:tentative="0">
      <w:start w:val="1"/>
      <w:numFmt w:val="decimal"/>
      <w:lvlText w:val="%2."/>
      <w:lvlJc w:val="left"/>
      <w:pPr>
        <w:ind w:left="1280" w:hanging="360"/>
      </w:pPr>
      <w:rPr>
        <w:rFonts w:hint="default"/>
      </w:r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27">
    <w:nsid w:val="315E173F"/>
    <w:multiLevelType w:val="multilevel"/>
    <w:tmpl w:val="315E173F"/>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28">
    <w:nsid w:val="34A847DA"/>
    <w:multiLevelType w:val="multilevel"/>
    <w:tmpl w:val="34A847DA"/>
    <w:lvl w:ilvl="0" w:tentative="0">
      <w:start w:val="1"/>
      <w:numFmt w:val="decimal"/>
      <w:lvlText w:val="（%1）"/>
      <w:lvlJc w:val="left"/>
      <w:pPr>
        <w:ind w:left="1042" w:hanging="420"/>
      </w:pPr>
      <w:rPr>
        <w:rFonts w:hint="eastAsia"/>
      </w:rPr>
    </w:lvl>
    <w:lvl w:ilvl="1" w:tentative="0">
      <w:start w:val="1"/>
      <w:numFmt w:val="bullet"/>
      <w:lvlText w:val=""/>
      <w:lvlJc w:val="left"/>
      <w:pPr>
        <w:ind w:left="1462" w:hanging="420"/>
      </w:pPr>
      <w:rPr>
        <w:rFonts w:hint="default" w:ascii="Wingdings" w:hAnsi="Wingdings"/>
      </w:rPr>
    </w:lvl>
    <w:lvl w:ilvl="2" w:tentative="0">
      <w:start w:val="1"/>
      <w:numFmt w:val="bullet"/>
      <w:lvlText w:val=""/>
      <w:lvlJc w:val="left"/>
      <w:pPr>
        <w:ind w:left="1882" w:hanging="420"/>
      </w:pPr>
      <w:rPr>
        <w:rFonts w:hint="default" w:ascii="Wingdings" w:hAnsi="Wingdings"/>
      </w:rPr>
    </w:lvl>
    <w:lvl w:ilvl="3" w:tentative="0">
      <w:start w:val="1"/>
      <w:numFmt w:val="bullet"/>
      <w:lvlText w:val=""/>
      <w:lvlJc w:val="left"/>
      <w:pPr>
        <w:ind w:left="2302" w:hanging="420"/>
      </w:pPr>
      <w:rPr>
        <w:rFonts w:hint="default" w:ascii="Wingdings" w:hAnsi="Wingdings"/>
      </w:rPr>
    </w:lvl>
    <w:lvl w:ilvl="4" w:tentative="0">
      <w:start w:val="1"/>
      <w:numFmt w:val="bullet"/>
      <w:lvlText w:val=""/>
      <w:lvlJc w:val="left"/>
      <w:pPr>
        <w:ind w:left="2722" w:hanging="420"/>
      </w:pPr>
      <w:rPr>
        <w:rFonts w:hint="default" w:ascii="Wingdings" w:hAnsi="Wingdings"/>
      </w:rPr>
    </w:lvl>
    <w:lvl w:ilvl="5" w:tentative="0">
      <w:start w:val="1"/>
      <w:numFmt w:val="bullet"/>
      <w:lvlText w:val=""/>
      <w:lvlJc w:val="left"/>
      <w:pPr>
        <w:ind w:left="3142" w:hanging="420"/>
      </w:pPr>
      <w:rPr>
        <w:rFonts w:hint="default" w:ascii="Wingdings" w:hAnsi="Wingdings"/>
      </w:rPr>
    </w:lvl>
    <w:lvl w:ilvl="6" w:tentative="0">
      <w:start w:val="1"/>
      <w:numFmt w:val="bullet"/>
      <w:lvlText w:val=""/>
      <w:lvlJc w:val="left"/>
      <w:pPr>
        <w:ind w:left="3562" w:hanging="420"/>
      </w:pPr>
      <w:rPr>
        <w:rFonts w:hint="default" w:ascii="Wingdings" w:hAnsi="Wingdings"/>
      </w:rPr>
    </w:lvl>
    <w:lvl w:ilvl="7" w:tentative="0">
      <w:start w:val="1"/>
      <w:numFmt w:val="bullet"/>
      <w:lvlText w:val=""/>
      <w:lvlJc w:val="left"/>
      <w:pPr>
        <w:ind w:left="3982" w:hanging="420"/>
      </w:pPr>
      <w:rPr>
        <w:rFonts w:hint="default" w:ascii="Wingdings" w:hAnsi="Wingdings"/>
      </w:rPr>
    </w:lvl>
    <w:lvl w:ilvl="8" w:tentative="0">
      <w:start w:val="1"/>
      <w:numFmt w:val="bullet"/>
      <w:lvlText w:val=""/>
      <w:lvlJc w:val="left"/>
      <w:pPr>
        <w:ind w:left="4402" w:hanging="420"/>
      </w:pPr>
      <w:rPr>
        <w:rFonts w:hint="default" w:ascii="Wingdings" w:hAnsi="Wingdings"/>
      </w:rPr>
    </w:lvl>
  </w:abstractNum>
  <w:abstractNum w:abstractNumId="29">
    <w:nsid w:val="361A4D61"/>
    <w:multiLevelType w:val="multilevel"/>
    <w:tmpl w:val="361A4D61"/>
    <w:lvl w:ilvl="0" w:tentative="0">
      <w:start w:val="1"/>
      <w:numFmt w:val="decimal"/>
      <w:lvlText w:val="(%1)"/>
      <w:lvlJc w:val="left"/>
      <w:pPr>
        <w:ind w:left="912" w:hanging="440"/>
      </w:pPr>
      <w:rPr>
        <w:rFonts w:hint="eastAsia" w:ascii="宋体" w:hAnsi="宋体" w:eastAsia="宋体"/>
      </w:rPr>
    </w:lvl>
    <w:lvl w:ilvl="1" w:tentative="0">
      <w:start w:val="1"/>
      <w:numFmt w:val="lowerLetter"/>
      <w:lvlText w:val="%2)"/>
      <w:lvlJc w:val="left"/>
      <w:pPr>
        <w:ind w:left="1352" w:hanging="440"/>
      </w:pPr>
    </w:lvl>
    <w:lvl w:ilvl="2" w:tentative="0">
      <w:start w:val="1"/>
      <w:numFmt w:val="lowerRoman"/>
      <w:lvlText w:val="%3."/>
      <w:lvlJc w:val="right"/>
      <w:pPr>
        <w:ind w:left="1792" w:hanging="440"/>
      </w:pPr>
    </w:lvl>
    <w:lvl w:ilvl="3" w:tentative="0">
      <w:start w:val="1"/>
      <w:numFmt w:val="decimal"/>
      <w:lvlText w:val="%4."/>
      <w:lvlJc w:val="left"/>
      <w:pPr>
        <w:ind w:left="2232" w:hanging="440"/>
      </w:pPr>
    </w:lvl>
    <w:lvl w:ilvl="4" w:tentative="0">
      <w:start w:val="1"/>
      <w:numFmt w:val="lowerLetter"/>
      <w:lvlText w:val="%5)"/>
      <w:lvlJc w:val="left"/>
      <w:pPr>
        <w:ind w:left="2672" w:hanging="440"/>
      </w:pPr>
    </w:lvl>
    <w:lvl w:ilvl="5" w:tentative="0">
      <w:start w:val="1"/>
      <w:numFmt w:val="lowerRoman"/>
      <w:lvlText w:val="%6."/>
      <w:lvlJc w:val="right"/>
      <w:pPr>
        <w:ind w:left="3112" w:hanging="440"/>
      </w:pPr>
    </w:lvl>
    <w:lvl w:ilvl="6" w:tentative="0">
      <w:start w:val="1"/>
      <w:numFmt w:val="decimal"/>
      <w:lvlText w:val="%7."/>
      <w:lvlJc w:val="left"/>
      <w:pPr>
        <w:ind w:left="3552" w:hanging="440"/>
      </w:pPr>
    </w:lvl>
    <w:lvl w:ilvl="7" w:tentative="0">
      <w:start w:val="1"/>
      <w:numFmt w:val="lowerLetter"/>
      <w:lvlText w:val="%8)"/>
      <w:lvlJc w:val="left"/>
      <w:pPr>
        <w:ind w:left="3992" w:hanging="440"/>
      </w:pPr>
    </w:lvl>
    <w:lvl w:ilvl="8" w:tentative="0">
      <w:start w:val="1"/>
      <w:numFmt w:val="lowerRoman"/>
      <w:lvlText w:val="%9."/>
      <w:lvlJc w:val="right"/>
      <w:pPr>
        <w:ind w:left="4432" w:hanging="440"/>
      </w:pPr>
    </w:lvl>
  </w:abstractNum>
  <w:abstractNum w:abstractNumId="30">
    <w:nsid w:val="38FA0CE9"/>
    <w:multiLevelType w:val="multilevel"/>
    <w:tmpl w:val="38FA0CE9"/>
    <w:lvl w:ilvl="0" w:tentative="0">
      <w:start w:val="1"/>
      <w:numFmt w:val="decimal"/>
      <w:lvlText w:val="%1、"/>
      <w:lvlJc w:val="left"/>
      <w:pPr>
        <w:ind w:left="920" w:hanging="440"/>
      </w:pPr>
      <w:rPr>
        <w:rFonts w:hint="eastAsia"/>
      </w:rPr>
    </w:lvl>
    <w:lvl w:ilvl="1" w:tentative="0">
      <w:start w:val="1"/>
      <w:numFmt w:val="decimal"/>
      <w:lvlText w:val="%2、"/>
      <w:lvlJc w:val="left"/>
      <w:pPr>
        <w:ind w:left="1360" w:hanging="440"/>
      </w:pPr>
      <w:rPr>
        <w:rFonts w:hint="eastAsia"/>
      </w:rPr>
    </w:lvl>
    <w:lvl w:ilvl="2" w:tentative="0">
      <w:start w:val="1"/>
      <w:numFmt w:val="decimal"/>
      <w:lvlText w:val="(%3)"/>
      <w:lvlJc w:val="left"/>
      <w:pPr>
        <w:ind w:left="2140" w:hanging="780"/>
      </w:pPr>
      <w:rPr>
        <w:rFonts w:hint="default"/>
      </w:r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31">
    <w:nsid w:val="3B363D98"/>
    <w:multiLevelType w:val="multilevel"/>
    <w:tmpl w:val="3B363D98"/>
    <w:lvl w:ilvl="0" w:tentative="0">
      <w:start w:val="1"/>
      <w:numFmt w:val="decimal"/>
      <w:pStyle w:val="14"/>
      <w:suff w:val="space"/>
      <w:lvlText w:val="图%1."/>
      <w:lvlJc w:val="left"/>
      <w:pPr>
        <w:ind w:left="4107" w:hanging="420"/>
      </w:pPr>
      <w:rPr>
        <w:b w:val="0"/>
        <w:bCs w:val="0"/>
        <w:i w:val="0"/>
        <w:iCs w:val="0"/>
        <w:caps w:val="0"/>
        <w:smallCaps w:val="0"/>
        <w:strike w:val="0"/>
        <w:dstrike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rPr>
    </w:lvl>
    <w:lvl w:ilvl="1" w:tentative="0">
      <w:start w:val="1"/>
      <w:numFmt w:val="lowerLetter"/>
      <w:lvlText w:val="%2)"/>
      <w:lvlJc w:val="left"/>
      <w:pPr>
        <w:ind w:left="2683" w:hanging="420"/>
      </w:pPr>
    </w:lvl>
    <w:lvl w:ilvl="2" w:tentative="0">
      <w:start w:val="1"/>
      <w:numFmt w:val="lowerRoman"/>
      <w:lvlText w:val="%3."/>
      <w:lvlJc w:val="right"/>
      <w:pPr>
        <w:ind w:left="3103" w:hanging="420"/>
      </w:pPr>
    </w:lvl>
    <w:lvl w:ilvl="3" w:tentative="0">
      <w:start w:val="1"/>
      <w:numFmt w:val="decimal"/>
      <w:lvlText w:val="%4."/>
      <w:lvlJc w:val="left"/>
      <w:pPr>
        <w:ind w:left="3523" w:hanging="420"/>
      </w:pPr>
    </w:lvl>
    <w:lvl w:ilvl="4" w:tentative="0">
      <w:start w:val="1"/>
      <w:numFmt w:val="lowerLetter"/>
      <w:lvlText w:val="%5)"/>
      <w:lvlJc w:val="left"/>
      <w:pPr>
        <w:ind w:left="3943" w:hanging="420"/>
      </w:pPr>
    </w:lvl>
    <w:lvl w:ilvl="5" w:tentative="0">
      <w:start w:val="1"/>
      <w:numFmt w:val="lowerRoman"/>
      <w:lvlText w:val="%6."/>
      <w:lvlJc w:val="right"/>
      <w:pPr>
        <w:ind w:left="4363" w:hanging="420"/>
      </w:pPr>
    </w:lvl>
    <w:lvl w:ilvl="6" w:tentative="0">
      <w:start w:val="1"/>
      <w:numFmt w:val="decimal"/>
      <w:lvlText w:val="%7."/>
      <w:lvlJc w:val="left"/>
      <w:pPr>
        <w:ind w:left="4783" w:hanging="420"/>
      </w:pPr>
    </w:lvl>
    <w:lvl w:ilvl="7" w:tentative="0">
      <w:start w:val="1"/>
      <w:numFmt w:val="lowerLetter"/>
      <w:lvlText w:val="%8)"/>
      <w:lvlJc w:val="left"/>
      <w:pPr>
        <w:ind w:left="5203" w:hanging="420"/>
      </w:pPr>
    </w:lvl>
    <w:lvl w:ilvl="8" w:tentative="0">
      <w:start w:val="1"/>
      <w:numFmt w:val="lowerRoman"/>
      <w:lvlText w:val="%9."/>
      <w:lvlJc w:val="right"/>
      <w:pPr>
        <w:ind w:left="5623" w:hanging="420"/>
      </w:pPr>
    </w:lvl>
  </w:abstractNum>
  <w:abstractNum w:abstractNumId="32">
    <w:nsid w:val="42EB7BF1"/>
    <w:multiLevelType w:val="multilevel"/>
    <w:tmpl w:val="42EB7BF1"/>
    <w:lvl w:ilvl="0" w:tentative="0">
      <w:start w:val="1"/>
      <w:numFmt w:val="decimal"/>
      <w:lvlText w:val="(%1)"/>
      <w:lvlJc w:val="left"/>
      <w:pPr>
        <w:ind w:left="920" w:hanging="440"/>
      </w:pPr>
      <w:rPr>
        <w:rFonts w:hint="eastAsia"/>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33">
    <w:nsid w:val="4769485F"/>
    <w:multiLevelType w:val="multilevel"/>
    <w:tmpl w:val="4769485F"/>
    <w:lvl w:ilvl="0" w:tentative="0">
      <w:start w:val="1"/>
      <w:numFmt w:val="decimal"/>
      <w:lvlText w:val="%1、"/>
      <w:lvlJc w:val="left"/>
      <w:pPr>
        <w:ind w:left="912" w:hanging="440"/>
      </w:pPr>
      <w:rPr>
        <w:rFonts w:hint="eastAsia" w:asciiTheme="minorEastAsia" w:hAnsiTheme="minorEastAsia" w:eastAsiaTheme="minorEastAsia"/>
        <w:b w:val="0"/>
        <w:bCs w:val="0"/>
      </w:rPr>
    </w:lvl>
    <w:lvl w:ilvl="1" w:tentative="0">
      <w:start w:val="1"/>
      <w:numFmt w:val="lowerLetter"/>
      <w:lvlText w:val="%2)"/>
      <w:lvlJc w:val="left"/>
      <w:pPr>
        <w:ind w:left="1352" w:hanging="440"/>
      </w:pPr>
    </w:lvl>
    <w:lvl w:ilvl="2" w:tentative="0">
      <w:start w:val="1"/>
      <w:numFmt w:val="lowerRoman"/>
      <w:lvlText w:val="%3."/>
      <w:lvlJc w:val="right"/>
      <w:pPr>
        <w:ind w:left="1792" w:hanging="440"/>
      </w:pPr>
    </w:lvl>
    <w:lvl w:ilvl="3" w:tentative="0">
      <w:start w:val="1"/>
      <w:numFmt w:val="decimal"/>
      <w:lvlText w:val="%4."/>
      <w:lvlJc w:val="left"/>
      <w:pPr>
        <w:ind w:left="2232" w:hanging="440"/>
      </w:pPr>
    </w:lvl>
    <w:lvl w:ilvl="4" w:tentative="0">
      <w:start w:val="1"/>
      <w:numFmt w:val="lowerLetter"/>
      <w:lvlText w:val="%5)"/>
      <w:lvlJc w:val="left"/>
      <w:pPr>
        <w:ind w:left="2672" w:hanging="440"/>
      </w:pPr>
    </w:lvl>
    <w:lvl w:ilvl="5" w:tentative="0">
      <w:start w:val="1"/>
      <w:numFmt w:val="lowerRoman"/>
      <w:lvlText w:val="%6."/>
      <w:lvlJc w:val="right"/>
      <w:pPr>
        <w:ind w:left="3112" w:hanging="440"/>
      </w:pPr>
    </w:lvl>
    <w:lvl w:ilvl="6" w:tentative="0">
      <w:start w:val="1"/>
      <w:numFmt w:val="decimal"/>
      <w:lvlText w:val="%7."/>
      <w:lvlJc w:val="left"/>
      <w:pPr>
        <w:ind w:left="3552" w:hanging="440"/>
      </w:pPr>
    </w:lvl>
    <w:lvl w:ilvl="7" w:tentative="0">
      <w:start w:val="1"/>
      <w:numFmt w:val="lowerLetter"/>
      <w:lvlText w:val="%8)"/>
      <w:lvlJc w:val="left"/>
      <w:pPr>
        <w:ind w:left="3992" w:hanging="440"/>
      </w:pPr>
    </w:lvl>
    <w:lvl w:ilvl="8" w:tentative="0">
      <w:start w:val="1"/>
      <w:numFmt w:val="lowerRoman"/>
      <w:lvlText w:val="%9."/>
      <w:lvlJc w:val="right"/>
      <w:pPr>
        <w:ind w:left="4432" w:hanging="440"/>
      </w:pPr>
    </w:lvl>
  </w:abstractNum>
  <w:abstractNum w:abstractNumId="34">
    <w:nsid w:val="5298478F"/>
    <w:multiLevelType w:val="multilevel"/>
    <w:tmpl w:val="5298478F"/>
    <w:lvl w:ilvl="0" w:tentative="0">
      <w:start w:val="1"/>
      <w:numFmt w:val="decimal"/>
      <w:lvlText w:val="（%1）"/>
      <w:lvlJc w:val="left"/>
      <w:pPr>
        <w:ind w:left="1042" w:hanging="420"/>
      </w:pPr>
      <w:rPr>
        <w:rFonts w:hint="eastAsia"/>
      </w:rPr>
    </w:lvl>
    <w:lvl w:ilvl="1" w:tentative="0">
      <w:start w:val="1"/>
      <w:numFmt w:val="bullet"/>
      <w:lvlText w:val=""/>
      <w:lvlJc w:val="left"/>
      <w:pPr>
        <w:ind w:left="1462" w:hanging="420"/>
      </w:pPr>
      <w:rPr>
        <w:rFonts w:hint="default" w:ascii="Wingdings" w:hAnsi="Wingdings"/>
      </w:rPr>
    </w:lvl>
    <w:lvl w:ilvl="2" w:tentative="0">
      <w:start w:val="1"/>
      <w:numFmt w:val="bullet"/>
      <w:lvlText w:val=""/>
      <w:lvlJc w:val="left"/>
      <w:pPr>
        <w:ind w:left="1882" w:hanging="420"/>
      </w:pPr>
      <w:rPr>
        <w:rFonts w:hint="default" w:ascii="Wingdings" w:hAnsi="Wingdings"/>
      </w:rPr>
    </w:lvl>
    <w:lvl w:ilvl="3" w:tentative="0">
      <w:start w:val="1"/>
      <w:numFmt w:val="bullet"/>
      <w:lvlText w:val=""/>
      <w:lvlJc w:val="left"/>
      <w:pPr>
        <w:ind w:left="2302" w:hanging="420"/>
      </w:pPr>
      <w:rPr>
        <w:rFonts w:hint="default" w:ascii="Wingdings" w:hAnsi="Wingdings"/>
      </w:rPr>
    </w:lvl>
    <w:lvl w:ilvl="4" w:tentative="0">
      <w:start w:val="1"/>
      <w:numFmt w:val="bullet"/>
      <w:lvlText w:val=""/>
      <w:lvlJc w:val="left"/>
      <w:pPr>
        <w:ind w:left="2722" w:hanging="420"/>
      </w:pPr>
      <w:rPr>
        <w:rFonts w:hint="default" w:ascii="Wingdings" w:hAnsi="Wingdings"/>
      </w:rPr>
    </w:lvl>
    <w:lvl w:ilvl="5" w:tentative="0">
      <w:start w:val="1"/>
      <w:numFmt w:val="bullet"/>
      <w:lvlText w:val=""/>
      <w:lvlJc w:val="left"/>
      <w:pPr>
        <w:ind w:left="3142" w:hanging="420"/>
      </w:pPr>
      <w:rPr>
        <w:rFonts w:hint="default" w:ascii="Wingdings" w:hAnsi="Wingdings"/>
      </w:rPr>
    </w:lvl>
    <w:lvl w:ilvl="6" w:tentative="0">
      <w:start w:val="1"/>
      <w:numFmt w:val="bullet"/>
      <w:lvlText w:val=""/>
      <w:lvlJc w:val="left"/>
      <w:pPr>
        <w:ind w:left="3562" w:hanging="420"/>
      </w:pPr>
      <w:rPr>
        <w:rFonts w:hint="default" w:ascii="Wingdings" w:hAnsi="Wingdings"/>
      </w:rPr>
    </w:lvl>
    <w:lvl w:ilvl="7" w:tentative="0">
      <w:start w:val="1"/>
      <w:numFmt w:val="bullet"/>
      <w:lvlText w:val=""/>
      <w:lvlJc w:val="left"/>
      <w:pPr>
        <w:ind w:left="3982" w:hanging="420"/>
      </w:pPr>
      <w:rPr>
        <w:rFonts w:hint="default" w:ascii="Wingdings" w:hAnsi="Wingdings"/>
      </w:rPr>
    </w:lvl>
    <w:lvl w:ilvl="8" w:tentative="0">
      <w:start w:val="1"/>
      <w:numFmt w:val="bullet"/>
      <w:lvlText w:val=""/>
      <w:lvlJc w:val="left"/>
      <w:pPr>
        <w:ind w:left="4402" w:hanging="420"/>
      </w:pPr>
      <w:rPr>
        <w:rFonts w:hint="default" w:ascii="Wingdings" w:hAnsi="Wingdings"/>
      </w:rPr>
    </w:lvl>
  </w:abstractNum>
  <w:abstractNum w:abstractNumId="35">
    <w:nsid w:val="557C3792"/>
    <w:multiLevelType w:val="multilevel"/>
    <w:tmpl w:val="557C3792"/>
    <w:lvl w:ilvl="0" w:tentative="0">
      <w:start w:val="1"/>
      <w:numFmt w:val="decimal"/>
      <w:lvlText w:val="%1、"/>
      <w:lvlJc w:val="left"/>
      <w:pPr>
        <w:ind w:left="920" w:hanging="440"/>
      </w:pPr>
      <w:rPr>
        <w:rFonts w:hint="eastAsia"/>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36">
    <w:nsid w:val="574C4B37"/>
    <w:multiLevelType w:val="multilevel"/>
    <w:tmpl w:val="574C4B37"/>
    <w:lvl w:ilvl="0" w:tentative="0">
      <w:start w:val="1"/>
      <w:numFmt w:val="decimal"/>
      <w:lvlText w:val="（%1）"/>
      <w:lvlJc w:val="left"/>
      <w:pPr>
        <w:ind w:left="1042" w:hanging="420"/>
      </w:pPr>
      <w:rPr>
        <w:rFonts w:hint="eastAsia"/>
      </w:rPr>
    </w:lvl>
    <w:lvl w:ilvl="1" w:tentative="0">
      <w:start w:val="1"/>
      <w:numFmt w:val="bullet"/>
      <w:lvlText w:val=""/>
      <w:lvlJc w:val="left"/>
      <w:pPr>
        <w:ind w:left="1462" w:hanging="420"/>
      </w:pPr>
      <w:rPr>
        <w:rFonts w:hint="default" w:ascii="Wingdings" w:hAnsi="Wingdings"/>
      </w:rPr>
    </w:lvl>
    <w:lvl w:ilvl="2" w:tentative="0">
      <w:start w:val="1"/>
      <w:numFmt w:val="bullet"/>
      <w:lvlText w:val=""/>
      <w:lvlJc w:val="left"/>
      <w:pPr>
        <w:ind w:left="1882" w:hanging="420"/>
      </w:pPr>
      <w:rPr>
        <w:rFonts w:hint="default" w:ascii="Wingdings" w:hAnsi="Wingdings"/>
      </w:rPr>
    </w:lvl>
    <w:lvl w:ilvl="3" w:tentative="0">
      <w:start w:val="1"/>
      <w:numFmt w:val="bullet"/>
      <w:lvlText w:val=""/>
      <w:lvlJc w:val="left"/>
      <w:pPr>
        <w:ind w:left="2302" w:hanging="420"/>
      </w:pPr>
      <w:rPr>
        <w:rFonts w:hint="default" w:ascii="Wingdings" w:hAnsi="Wingdings"/>
      </w:rPr>
    </w:lvl>
    <w:lvl w:ilvl="4" w:tentative="0">
      <w:start w:val="1"/>
      <w:numFmt w:val="bullet"/>
      <w:lvlText w:val=""/>
      <w:lvlJc w:val="left"/>
      <w:pPr>
        <w:ind w:left="2722" w:hanging="420"/>
      </w:pPr>
      <w:rPr>
        <w:rFonts w:hint="default" w:ascii="Wingdings" w:hAnsi="Wingdings"/>
      </w:rPr>
    </w:lvl>
    <w:lvl w:ilvl="5" w:tentative="0">
      <w:start w:val="1"/>
      <w:numFmt w:val="bullet"/>
      <w:lvlText w:val=""/>
      <w:lvlJc w:val="left"/>
      <w:pPr>
        <w:ind w:left="3142" w:hanging="420"/>
      </w:pPr>
      <w:rPr>
        <w:rFonts w:hint="default" w:ascii="Wingdings" w:hAnsi="Wingdings"/>
      </w:rPr>
    </w:lvl>
    <w:lvl w:ilvl="6" w:tentative="0">
      <w:start w:val="1"/>
      <w:numFmt w:val="bullet"/>
      <w:lvlText w:val=""/>
      <w:lvlJc w:val="left"/>
      <w:pPr>
        <w:ind w:left="3562" w:hanging="420"/>
      </w:pPr>
      <w:rPr>
        <w:rFonts w:hint="default" w:ascii="Wingdings" w:hAnsi="Wingdings"/>
      </w:rPr>
    </w:lvl>
    <w:lvl w:ilvl="7" w:tentative="0">
      <w:start w:val="1"/>
      <w:numFmt w:val="bullet"/>
      <w:lvlText w:val=""/>
      <w:lvlJc w:val="left"/>
      <w:pPr>
        <w:ind w:left="3982" w:hanging="420"/>
      </w:pPr>
      <w:rPr>
        <w:rFonts w:hint="default" w:ascii="Wingdings" w:hAnsi="Wingdings"/>
      </w:rPr>
    </w:lvl>
    <w:lvl w:ilvl="8" w:tentative="0">
      <w:start w:val="1"/>
      <w:numFmt w:val="bullet"/>
      <w:lvlText w:val=""/>
      <w:lvlJc w:val="left"/>
      <w:pPr>
        <w:ind w:left="4402" w:hanging="420"/>
      </w:pPr>
      <w:rPr>
        <w:rFonts w:hint="default" w:ascii="Wingdings" w:hAnsi="Wingdings"/>
      </w:rPr>
    </w:lvl>
  </w:abstractNum>
  <w:abstractNum w:abstractNumId="37">
    <w:nsid w:val="5843420E"/>
    <w:multiLevelType w:val="multilevel"/>
    <w:tmpl w:val="5843420E"/>
    <w:lvl w:ilvl="0" w:tentative="0">
      <w:start w:val="1"/>
      <w:numFmt w:val="decimal"/>
      <w:lvlText w:val="%1、"/>
      <w:lvlJc w:val="left"/>
      <w:pPr>
        <w:ind w:left="920" w:hanging="440"/>
      </w:pPr>
      <w:rPr>
        <w:rFonts w:hint="eastAsia"/>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38">
    <w:nsid w:val="5F8D5DB5"/>
    <w:multiLevelType w:val="multilevel"/>
    <w:tmpl w:val="5F8D5DB5"/>
    <w:lvl w:ilvl="0" w:tentative="0">
      <w:start w:val="1"/>
      <w:numFmt w:val="bullet"/>
      <w:lvlText w:val=""/>
      <w:lvlJc w:val="left"/>
      <w:pPr>
        <w:ind w:left="920" w:hanging="440"/>
      </w:pPr>
      <w:rPr>
        <w:rFonts w:hint="default" w:ascii="Wingdings" w:hAnsi="Wingdings"/>
      </w:rPr>
    </w:lvl>
    <w:lvl w:ilvl="1" w:tentative="0">
      <w:start w:val="1"/>
      <w:numFmt w:val="bullet"/>
      <w:lvlText w:val=""/>
      <w:lvlJc w:val="left"/>
      <w:pPr>
        <w:ind w:left="1360" w:hanging="440"/>
      </w:pPr>
      <w:rPr>
        <w:rFonts w:hint="default" w:ascii="Wingdings" w:hAnsi="Wingdings"/>
      </w:rPr>
    </w:lvl>
    <w:lvl w:ilvl="2" w:tentative="0">
      <w:start w:val="1"/>
      <w:numFmt w:val="bullet"/>
      <w:lvlText w:val=""/>
      <w:lvlJc w:val="left"/>
      <w:pPr>
        <w:ind w:left="1800" w:hanging="440"/>
      </w:pPr>
      <w:rPr>
        <w:rFonts w:hint="default" w:ascii="Wingdings" w:hAnsi="Wingdings"/>
      </w:rPr>
    </w:lvl>
    <w:lvl w:ilvl="3" w:tentative="0">
      <w:start w:val="1"/>
      <w:numFmt w:val="bullet"/>
      <w:lvlText w:val=""/>
      <w:lvlJc w:val="left"/>
      <w:pPr>
        <w:ind w:left="2240" w:hanging="440"/>
      </w:pPr>
      <w:rPr>
        <w:rFonts w:hint="default" w:ascii="Wingdings" w:hAnsi="Wingdings"/>
      </w:rPr>
    </w:lvl>
    <w:lvl w:ilvl="4" w:tentative="0">
      <w:start w:val="1"/>
      <w:numFmt w:val="bullet"/>
      <w:lvlText w:val=""/>
      <w:lvlJc w:val="left"/>
      <w:pPr>
        <w:ind w:left="2680" w:hanging="440"/>
      </w:pPr>
      <w:rPr>
        <w:rFonts w:hint="default" w:ascii="Wingdings" w:hAnsi="Wingdings"/>
      </w:rPr>
    </w:lvl>
    <w:lvl w:ilvl="5" w:tentative="0">
      <w:start w:val="1"/>
      <w:numFmt w:val="bullet"/>
      <w:lvlText w:val=""/>
      <w:lvlJc w:val="left"/>
      <w:pPr>
        <w:ind w:left="3120" w:hanging="440"/>
      </w:pPr>
      <w:rPr>
        <w:rFonts w:hint="default" w:ascii="Wingdings" w:hAnsi="Wingdings"/>
      </w:rPr>
    </w:lvl>
    <w:lvl w:ilvl="6" w:tentative="0">
      <w:start w:val="1"/>
      <w:numFmt w:val="bullet"/>
      <w:lvlText w:val=""/>
      <w:lvlJc w:val="left"/>
      <w:pPr>
        <w:ind w:left="3560" w:hanging="440"/>
      </w:pPr>
      <w:rPr>
        <w:rFonts w:hint="default" w:ascii="Wingdings" w:hAnsi="Wingdings"/>
      </w:rPr>
    </w:lvl>
    <w:lvl w:ilvl="7" w:tentative="0">
      <w:start w:val="1"/>
      <w:numFmt w:val="bullet"/>
      <w:lvlText w:val=""/>
      <w:lvlJc w:val="left"/>
      <w:pPr>
        <w:ind w:left="4000" w:hanging="440"/>
      </w:pPr>
      <w:rPr>
        <w:rFonts w:hint="default" w:ascii="Wingdings" w:hAnsi="Wingdings"/>
      </w:rPr>
    </w:lvl>
    <w:lvl w:ilvl="8" w:tentative="0">
      <w:start w:val="1"/>
      <w:numFmt w:val="bullet"/>
      <w:lvlText w:val=""/>
      <w:lvlJc w:val="left"/>
      <w:pPr>
        <w:ind w:left="4440" w:hanging="440"/>
      </w:pPr>
      <w:rPr>
        <w:rFonts w:hint="default" w:ascii="Wingdings" w:hAnsi="Wingdings"/>
      </w:rPr>
    </w:lvl>
  </w:abstractNum>
  <w:abstractNum w:abstractNumId="39">
    <w:nsid w:val="64224313"/>
    <w:multiLevelType w:val="multilevel"/>
    <w:tmpl w:val="64224313"/>
    <w:lvl w:ilvl="0" w:tentative="0">
      <w:start w:val="1"/>
      <w:numFmt w:val="decimal"/>
      <w:lvlText w:val="(%1)"/>
      <w:lvlJc w:val="left"/>
      <w:pPr>
        <w:ind w:left="920" w:hanging="440"/>
      </w:pPr>
      <w:rPr>
        <w:rFonts w:hint="eastAsia"/>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40">
    <w:nsid w:val="679F0751"/>
    <w:multiLevelType w:val="multilevel"/>
    <w:tmpl w:val="679F0751"/>
    <w:lvl w:ilvl="0" w:tentative="0">
      <w:start w:val="1"/>
      <w:numFmt w:val="decimal"/>
      <w:lvlText w:val="(%1)"/>
      <w:lvlJc w:val="left"/>
      <w:pPr>
        <w:ind w:left="920" w:hanging="440"/>
      </w:pPr>
      <w:rPr>
        <w:rFonts w:hint="eastAsia"/>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41">
    <w:nsid w:val="6EA172E9"/>
    <w:multiLevelType w:val="multilevel"/>
    <w:tmpl w:val="6EA172E9"/>
    <w:lvl w:ilvl="0" w:tentative="0">
      <w:start w:val="1"/>
      <w:numFmt w:val="decimal"/>
      <w:lvlText w:val="（%1）"/>
      <w:lvlJc w:val="left"/>
      <w:pPr>
        <w:ind w:left="1042" w:hanging="420"/>
      </w:pPr>
      <w:rPr>
        <w:rFonts w:hint="eastAsia"/>
      </w:rPr>
    </w:lvl>
    <w:lvl w:ilvl="1" w:tentative="0">
      <w:start w:val="1"/>
      <w:numFmt w:val="bullet"/>
      <w:lvlText w:val=""/>
      <w:lvlJc w:val="left"/>
      <w:pPr>
        <w:ind w:left="1462" w:hanging="420"/>
      </w:pPr>
      <w:rPr>
        <w:rFonts w:hint="default" w:ascii="Wingdings" w:hAnsi="Wingdings"/>
      </w:rPr>
    </w:lvl>
    <w:lvl w:ilvl="2" w:tentative="0">
      <w:start w:val="1"/>
      <w:numFmt w:val="bullet"/>
      <w:lvlText w:val=""/>
      <w:lvlJc w:val="left"/>
      <w:pPr>
        <w:ind w:left="1882" w:hanging="420"/>
      </w:pPr>
      <w:rPr>
        <w:rFonts w:hint="default" w:ascii="Wingdings" w:hAnsi="Wingdings"/>
      </w:rPr>
    </w:lvl>
    <w:lvl w:ilvl="3" w:tentative="0">
      <w:start w:val="1"/>
      <w:numFmt w:val="bullet"/>
      <w:lvlText w:val=""/>
      <w:lvlJc w:val="left"/>
      <w:pPr>
        <w:ind w:left="2302" w:hanging="420"/>
      </w:pPr>
      <w:rPr>
        <w:rFonts w:hint="default" w:ascii="Wingdings" w:hAnsi="Wingdings"/>
      </w:rPr>
    </w:lvl>
    <w:lvl w:ilvl="4" w:tentative="0">
      <w:start w:val="1"/>
      <w:numFmt w:val="bullet"/>
      <w:lvlText w:val=""/>
      <w:lvlJc w:val="left"/>
      <w:pPr>
        <w:ind w:left="2722" w:hanging="420"/>
      </w:pPr>
      <w:rPr>
        <w:rFonts w:hint="default" w:ascii="Wingdings" w:hAnsi="Wingdings"/>
      </w:rPr>
    </w:lvl>
    <w:lvl w:ilvl="5" w:tentative="0">
      <w:start w:val="1"/>
      <w:numFmt w:val="bullet"/>
      <w:lvlText w:val=""/>
      <w:lvlJc w:val="left"/>
      <w:pPr>
        <w:ind w:left="3142" w:hanging="420"/>
      </w:pPr>
      <w:rPr>
        <w:rFonts w:hint="default" w:ascii="Wingdings" w:hAnsi="Wingdings"/>
      </w:rPr>
    </w:lvl>
    <w:lvl w:ilvl="6" w:tentative="0">
      <w:start w:val="1"/>
      <w:numFmt w:val="bullet"/>
      <w:lvlText w:val=""/>
      <w:lvlJc w:val="left"/>
      <w:pPr>
        <w:ind w:left="3562" w:hanging="420"/>
      </w:pPr>
      <w:rPr>
        <w:rFonts w:hint="default" w:ascii="Wingdings" w:hAnsi="Wingdings"/>
      </w:rPr>
    </w:lvl>
    <w:lvl w:ilvl="7" w:tentative="0">
      <w:start w:val="1"/>
      <w:numFmt w:val="bullet"/>
      <w:lvlText w:val=""/>
      <w:lvlJc w:val="left"/>
      <w:pPr>
        <w:ind w:left="3982" w:hanging="420"/>
      </w:pPr>
      <w:rPr>
        <w:rFonts w:hint="default" w:ascii="Wingdings" w:hAnsi="Wingdings"/>
      </w:rPr>
    </w:lvl>
    <w:lvl w:ilvl="8" w:tentative="0">
      <w:start w:val="1"/>
      <w:numFmt w:val="bullet"/>
      <w:lvlText w:val=""/>
      <w:lvlJc w:val="left"/>
      <w:pPr>
        <w:ind w:left="4402" w:hanging="420"/>
      </w:pPr>
      <w:rPr>
        <w:rFonts w:hint="default" w:ascii="Wingdings" w:hAnsi="Wingdings"/>
      </w:rPr>
    </w:lvl>
  </w:abstractNum>
  <w:abstractNum w:abstractNumId="42">
    <w:nsid w:val="6F444EAF"/>
    <w:multiLevelType w:val="multilevel"/>
    <w:tmpl w:val="6F444EAF"/>
    <w:lvl w:ilvl="0" w:tentative="0">
      <w:start w:val="1"/>
      <w:numFmt w:val="decimal"/>
      <w:lvlText w:val="(%1)"/>
      <w:lvlJc w:val="left"/>
      <w:pPr>
        <w:ind w:left="920" w:hanging="440"/>
      </w:pPr>
      <w:rPr>
        <w:rFonts w:hint="eastAsia"/>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43">
    <w:nsid w:val="753F5169"/>
    <w:multiLevelType w:val="multilevel"/>
    <w:tmpl w:val="753F5169"/>
    <w:lvl w:ilvl="0" w:tentative="0">
      <w:start w:val="1"/>
      <w:numFmt w:val="decimal"/>
      <w:lvlText w:val="(%1)"/>
      <w:lvlJc w:val="left"/>
      <w:pPr>
        <w:ind w:left="920" w:hanging="440"/>
      </w:pPr>
      <w:rPr>
        <w:rFonts w:hint="eastAsia"/>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44">
    <w:nsid w:val="78EA70FD"/>
    <w:multiLevelType w:val="multilevel"/>
    <w:tmpl w:val="78EA70FD"/>
    <w:lvl w:ilvl="0" w:tentative="0">
      <w:start w:val="1"/>
      <w:numFmt w:val="decimal"/>
      <w:lvlText w:val="(%1)"/>
      <w:lvlJc w:val="left"/>
      <w:pPr>
        <w:ind w:left="920" w:hanging="440"/>
      </w:pPr>
      <w:rPr>
        <w:rFonts w:hint="eastAsia"/>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45">
    <w:nsid w:val="7F0E0B7B"/>
    <w:multiLevelType w:val="multilevel"/>
    <w:tmpl w:val="7F0E0B7B"/>
    <w:lvl w:ilvl="0" w:tentative="0">
      <w:start w:val="1"/>
      <w:numFmt w:val="decimal"/>
      <w:lvlText w:val="(%1)"/>
      <w:lvlJc w:val="left"/>
      <w:pPr>
        <w:ind w:left="920" w:hanging="440"/>
      </w:pPr>
      <w:rPr>
        <w:rFonts w:hint="eastAsia"/>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num w:numId="1">
    <w:abstractNumId w:val="3"/>
  </w:num>
  <w:num w:numId="2">
    <w:abstractNumId w:val="9"/>
  </w:num>
  <w:num w:numId="3">
    <w:abstractNumId w:val="31"/>
  </w:num>
  <w:num w:numId="4">
    <w:abstractNumId w:val="25"/>
  </w:num>
  <w:num w:numId="5">
    <w:abstractNumId w:val="5"/>
  </w:num>
  <w:num w:numId="6">
    <w:abstractNumId w:val="45"/>
  </w:num>
  <w:num w:numId="7">
    <w:abstractNumId w:val="15"/>
  </w:num>
  <w:num w:numId="8">
    <w:abstractNumId w:val="13"/>
  </w:num>
  <w:num w:numId="9">
    <w:abstractNumId w:val="39"/>
  </w:num>
  <w:num w:numId="10">
    <w:abstractNumId w:val="22"/>
  </w:num>
  <w:num w:numId="11">
    <w:abstractNumId w:val="32"/>
  </w:num>
  <w:num w:numId="12">
    <w:abstractNumId w:val="43"/>
  </w:num>
  <w:num w:numId="13">
    <w:abstractNumId w:val="35"/>
  </w:num>
  <w:num w:numId="14">
    <w:abstractNumId w:val="26"/>
  </w:num>
  <w:num w:numId="15">
    <w:abstractNumId w:val="30"/>
  </w:num>
  <w:num w:numId="16">
    <w:abstractNumId w:val="38"/>
  </w:num>
  <w:num w:numId="17">
    <w:abstractNumId w:val="6"/>
  </w:num>
  <w:num w:numId="18">
    <w:abstractNumId w:val="18"/>
  </w:num>
  <w:num w:numId="19">
    <w:abstractNumId w:val="40"/>
  </w:num>
  <w:num w:numId="20">
    <w:abstractNumId w:val="23"/>
  </w:num>
  <w:num w:numId="21">
    <w:abstractNumId w:val="44"/>
  </w:num>
  <w:num w:numId="22">
    <w:abstractNumId w:val="42"/>
  </w:num>
  <w:num w:numId="23">
    <w:abstractNumId w:val="37"/>
  </w:num>
  <w:num w:numId="24">
    <w:abstractNumId w:val="17"/>
  </w:num>
  <w:num w:numId="25">
    <w:abstractNumId w:val="14"/>
  </w:num>
  <w:num w:numId="26">
    <w:abstractNumId w:val="20"/>
  </w:num>
  <w:num w:numId="27">
    <w:abstractNumId w:val="8"/>
  </w:num>
  <w:num w:numId="28">
    <w:abstractNumId w:val="16"/>
  </w:num>
  <w:num w:numId="29">
    <w:abstractNumId w:val="11"/>
  </w:num>
  <w:num w:numId="30">
    <w:abstractNumId w:val="21"/>
  </w:num>
  <w:num w:numId="31">
    <w:abstractNumId w:val="24"/>
  </w:num>
  <w:num w:numId="32">
    <w:abstractNumId w:val="7"/>
  </w:num>
  <w:num w:numId="33">
    <w:abstractNumId w:val="19"/>
  </w:num>
  <w:num w:numId="34">
    <w:abstractNumId w:val="29"/>
  </w:num>
  <w:num w:numId="35">
    <w:abstractNumId w:val="2"/>
  </w:num>
  <w:num w:numId="36">
    <w:abstractNumId w:val="28"/>
  </w:num>
  <w:num w:numId="37">
    <w:abstractNumId w:val="41"/>
  </w:num>
  <w:num w:numId="38">
    <w:abstractNumId w:val="33"/>
  </w:num>
  <w:num w:numId="39">
    <w:abstractNumId w:val="36"/>
  </w:num>
  <w:num w:numId="40">
    <w:abstractNumId w:val="34"/>
  </w:num>
  <w:num w:numId="41">
    <w:abstractNumId w:val="27"/>
  </w:num>
  <w:num w:numId="42">
    <w:abstractNumId w:val="0"/>
  </w:num>
  <w:num w:numId="43">
    <w:abstractNumId w:val="1"/>
  </w:num>
  <w:num w:numId="44">
    <w:abstractNumId w:val="10"/>
  </w:num>
  <w:num w:numId="45">
    <w:abstractNumId w:val="4"/>
  </w:num>
  <w:num w:numId="4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saveSubsetFonts/>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mFlMDU2YjllMjg0NWQ4ZDM1ZWI2ZWEwMTlkOTFjMzkifQ=="/>
  </w:docVars>
  <w:rsids>
    <w:rsidRoot w:val="5FB31FB5"/>
    <w:rsid w:val="00004784"/>
    <w:rsid w:val="00011C1A"/>
    <w:rsid w:val="0002003F"/>
    <w:rsid w:val="00021276"/>
    <w:rsid w:val="00021309"/>
    <w:rsid w:val="00022773"/>
    <w:rsid w:val="0003054D"/>
    <w:rsid w:val="00031EF0"/>
    <w:rsid w:val="0004371F"/>
    <w:rsid w:val="000440B0"/>
    <w:rsid w:val="00046593"/>
    <w:rsid w:val="00055C55"/>
    <w:rsid w:val="0005646A"/>
    <w:rsid w:val="00057930"/>
    <w:rsid w:val="0006666D"/>
    <w:rsid w:val="00074E4A"/>
    <w:rsid w:val="0007627D"/>
    <w:rsid w:val="00081388"/>
    <w:rsid w:val="00081C80"/>
    <w:rsid w:val="00082425"/>
    <w:rsid w:val="00083912"/>
    <w:rsid w:val="00083AAB"/>
    <w:rsid w:val="00093757"/>
    <w:rsid w:val="000963AA"/>
    <w:rsid w:val="00097960"/>
    <w:rsid w:val="000B4042"/>
    <w:rsid w:val="000C3CB8"/>
    <w:rsid w:val="000C4EEE"/>
    <w:rsid w:val="000C7246"/>
    <w:rsid w:val="000D27B2"/>
    <w:rsid w:val="000D3A6F"/>
    <w:rsid w:val="000E0218"/>
    <w:rsid w:val="000E0A49"/>
    <w:rsid w:val="000E5FEF"/>
    <w:rsid w:val="000E7297"/>
    <w:rsid w:val="000F11B3"/>
    <w:rsid w:val="000F1528"/>
    <w:rsid w:val="001174D0"/>
    <w:rsid w:val="00127B7E"/>
    <w:rsid w:val="00130F23"/>
    <w:rsid w:val="0013276A"/>
    <w:rsid w:val="00137845"/>
    <w:rsid w:val="00141170"/>
    <w:rsid w:val="001438BC"/>
    <w:rsid w:val="00145767"/>
    <w:rsid w:val="00152DC5"/>
    <w:rsid w:val="001536E8"/>
    <w:rsid w:val="00154CD6"/>
    <w:rsid w:val="00155976"/>
    <w:rsid w:val="0016362F"/>
    <w:rsid w:val="001649FC"/>
    <w:rsid w:val="001665AF"/>
    <w:rsid w:val="001665C1"/>
    <w:rsid w:val="00166909"/>
    <w:rsid w:val="001710B5"/>
    <w:rsid w:val="00182B34"/>
    <w:rsid w:val="00187854"/>
    <w:rsid w:val="00195E07"/>
    <w:rsid w:val="001A317F"/>
    <w:rsid w:val="001A385B"/>
    <w:rsid w:val="001A57A3"/>
    <w:rsid w:val="001A73A0"/>
    <w:rsid w:val="001B17F0"/>
    <w:rsid w:val="001B5062"/>
    <w:rsid w:val="001C3EFD"/>
    <w:rsid w:val="001C4F84"/>
    <w:rsid w:val="001D2A6C"/>
    <w:rsid w:val="001D4C1A"/>
    <w:rsid w:val="001D617C"/>
    <w:rsid w:val="001E187A"/>
    <w:rsid w:val="001E6E38"/>
    <w:rsid w:val="001F1191"/>
    <w:rsid w:val="001F4D78"/>
    <w:rsid w:val="00202053"/>
    <w:rsid w:val="00205D12"/>
    <w:rsid w:val="00206845"/>
    <w:rsid w:val="00210C11"/>
    <w:rsid w:val="00230F34"/>
    <w:rsid w:val="00237A0B"/>
    <w:rsid w:val="00241A40"/>
    <w:rsid w:val="0024306A"/>
    <w:rsid w:val="002430D3"/>
    <w:rsid w:val="00244DD2"/>
    <w:rsid w:val="0024557A"/>
    <w:rsid w:val="00254AB0"/>
    <w:rsid w:val="00257BC3"/>
    <w:rsid w:val="00257DD5"/>
    <w:rsid w:val="00260698"/>
    <w:rsid w:val="002862EF"/>
    <w:rsid w:val="00286340"/>
    <w:rsid w:val="00286CF2"/>
    <w:rsid w:val="002900A5"/>
    <w:rsid w:val="00290B3B"/>
    <w:rsid w:val="00291683"/>
    <w:rsid w:val="0029282D"/>
    <w:rsid w:val="0029594B"/>
    <w:rsid w:val="002A1811"/>
    <w:rsid w:val="002A1F35"/>
    <w:rsid w:val="002B09F4"/>
    <w:rsid w:val="002B3342"/>
    <w:rsid w:val="002D3D42"/>
    <w:rsid w:val="002D5159"/>
    <w:rsid w:val="002D7393"/>
    <w:rsid w:val="002E2085"/>
    <w:rsid w:val="002E6E9D"/>
    <w:rsid w:val="002F052C"/>
    <w:rsid w:val="002F72F5"/>
    <w:rsid w:val="002F744B"/>
    <w:rsid w:val="002F7F72"/>
    <w:rsid w:val="0030290E"/>
    <w:rsid w:val="00304453"/>
    <w:rsid w:val="003047A5"/>
    <w:rsid w:val="003125F2"/>
    <w:rsid w:val="003168FF"/>
    <w:rsid w:val="00330C8A"/>
    <w:rsid w:val="003372DE"/>
    <w:rsid w:val="00341727"/>
    <w:rsid w:val="003420F3"/>
    <w:rsid w:val="00346E90"/>
    <w:rsid w:val="00347867"/>
    <w:rsid w:val="0035275F"/>
    <w:rsid w:val="00353D2E"/>
    <w:rsid w:val="003557EB"/>
    <w:rsid w:val="00356008"/>
    <w:rsid w:val="00356A30"/>
    <w:rsid w:val="00357EE8"/>
    <w:rsid w:val="00366E0C"/>
    <w:rsid w:val="00371735"/>
    <w:rsid w:val="00381514"/>
    <w:rsid w:val="00385124"/>
    <w:rsid w:val="00392876"/>
    <w:rsid w:val="0039446F"/>
    <w:rsid w:val="00395166"/>
    <w:rsid w:val="003953EF"/>
    <w:rsid w:val="003A0F0C"/>
    <w:rsid w:val="003B4036"/>
    <w:rsid w:val="003B5E81"/>
    <w:rsid w:val="003C1F83"/>
    <w:rsid w:val="003D735D"/>
    <w:rsid w:val="003E45E6"/>
    <w:rsid w:val="003F0A7B"/>
    <w:rsid w:val="003F10DF"/>
    <w:rsid w:val="003F2357"/>
    <w:rsid w:val="003F5131"/>
    <w:rsid w:val="003F5B84"/>
    <w:rsid w:val="003F5D92"/>
    <w:rsid w:val="0040176C"/>
    <w:rsid w:val="00404A97"/>
    <w:rsid w:val="00404B35"/>
    <w:rsid w:val="00406602"/>
    <w:rsid w:val="00413495"/>
    <w:rsid w:val="00417126"/>
    <w:rsid w:val="004219A7"/>
    <w:rsid w:val="004237A3"/>
    <w:rsid w:val="00424572"/>
    <w:rsid w:val="00424DFA"/>
    <w:rsid w:val="004254BF"/>
    <w:rsid w:val="00430C36"/>
    <w:rsid w:val="00430C74"/>
    <w:rsid w:val="004320BE"/>
    <w:rsid w:val="004343F2"/>
    <w:rsid w:val="00435E90"/>
    <w:rsid w:val="004405BB"/>
    <w:rsid w:val="0044121F"/>
    <w:rsid w:val="004502BE"/>
    <w:rsid w:val="0046135F"/>
    <w:rsid w:val="00464942"/>
    <w:rsid w:val="00466449"/>
    <w:rsid w:val="004677AC"/>
    <w:rsid w:val="004716CD"/>
    <w:rsid w:val="00472D7F"/>
    <w:rsid w:val="00475871"/>
    <w:rsid w:val="0048045B"/>
    <w:rsid w:val="00482926"/>
    <w:rsid w:val="00485AB9"/>
    <w:rsid w:val="00486C07"/>
    <w:rsid w:val="00490C92"/>
    <w:rsid w:val="004936F1"/>
    <w:rsid w:val="00495AB8"/>
    <w:rsid w:val="004A69EE"/>
    <w:rsid w:val="004B18D0"/>
    <w:rsid w:val="004B2E71"/>
    <w:rsid w:val="004B3C9D"/>
    <w:rsid w:val="004C5F04"/>
    <w:rsid w:val="004C6399"/>
    <w:rsid w:val="004C6EC1"/>
    <w:rsid w:val="004D07B8"/>
    <w:rsid w:val="004D0D42"/>
    <w:rsid w:val="004D6464"/>
    <w:rsid w:val="004D6D0D"/>
    <w:rsid w:val="004E0280"/>
    <w:rsid w:val="004E1D98"/>
    <w:rsid w:val="004E1F0D"/>
    <w:rsid w:val="004E6E7A"/>
    <w:rsid w:val="004E76BE"/>
    <w:rsid w:val="004F238D"/>
    <w:rsid w:val="004F541D"/>
    <w:rsid w:val="004F5BE8"/>
    <w:rsid w:val="0050301C"/>
    <w:rsid w:val="00503A55"/>
    <w:rsid w:val="005041EC"/>
    <w:rsid w:val="005056EE"/>
    <w:rsid w:val="005068AF"/>
    <w:rsid w:val="00511CF4"/>
    <w:rsid w:val="0051340A"/>
    <w:rsid w:val="00515053"/>
    <w:rsid w:val="00516714"/>
    <w:rsid w:val="00522C73"/>
    <w:rsid w:val="00522ED6"/>
    <w:rsid w:val="00524077"/>
    <w:rsid w:val="00524FD7"/>
    <w:rsid w:val="00526B16"/>
    <w:rsid w:val="00532CAD"/>
    <w:rsid w:val="00533DDB"/>
    <w:rsid w:val="00534F66"/>
    <w:rsid w:val="00537FD2"/>
    <w:rsid w:val="00545EB4"/>
    <w:rsid w:val="00547B32"/>
    <w:rsid w:val="005515F8"/>
    <w:rsid w:val="00563AA8"/>
    <w:rsid w:val="005740D6"/>
    <w:rsid w:val="00576079"/>
    <w:rsid w:val="00576AA8"/>
    <w:rsid w:val="00580148"/>
    <w:rsid w:val="00580328"/>
    <w:rsid w:val="0058617A"/>
    <w:rsid w:val="005918F7"/>
    <w:rsid w:val="00591D37"/>
    <w:rsid w:val="00593B0C"/>
    <w:rsid w:val="00594421"/>
    <w:rsid w:val="00594C04"/>
    <w:rsid w:val="00596223"/>
    <w:rsid w:val="005A2F80"/>
    <w:rsid w:val="005B1319"/>
    <w:rsid w:val="005B256E"/>
    <w:rsid w:val="005B45FA"/>
    <w:rsid w:val="005B69E1"/>
    <w:rsid w:val="005B73C7"/>
    <w:rsid w:val="005C0B5F"/>
    <w:rsid w:val="005C3389"/>
    <w:rsid w:val="005D0575"/>
    <w:rsid w:val="005D2452"/>
    <w:rsid w:val="005D3A57"/>
    <w:rsid w:val="005D7A6C"/>
    <w:rsid w:val="006007C9"/>
    <w:rsid w:val="00600A0A"/>
    <w:rsid w:val="00615AC3"/>
    <w:rsid w:val="00616720"/>
    <w:rsid w:val="00617EE5"/>
    <w:rsid w:val="006225EB"/>
    <w:rsid w:val="00624F60"/>
    <w:rsid w:val="00625FAB"/>
    <w:rsid w:val="00630C6A"/>
    <w:rsid w:val="00640765"/>
    <w:rsid w:val="00640E40"/>
    <w:rsid w:val="00642B28"/>
    <w:rsid w:val="0064561C"/>
    <w:rsid w:val="0064570D"/>
    <w:rsid w:val="00646004"/>
    <w:rsid w:val="006507B8"/>
    <w:rsid w:val="00654993"/>
    <w:rsid w:val="00656569"/>
    <w:rsid w:val="0066007D"/>
    <w:rsid w:val="0066092E"/>
    <w:rsid w:val="00661660"/>
    <w:rsid w:val="006626AD"/>
    <w:rsid w:val="00683B2B"/>
    <w:rsid w:val="00684961"/>
    <w:rsid w:val="00684A89"/>
    <w:rsid w:val="006928C3"/>
    <w:rsid w:val="00692A65"/>
    <w:rsid w:val="006A1277"/>
    <w:rsid w:val="006A3B4B"/>
    <w:rsid w:val="006A606A"/>
    <w:rsid w:val="006A6C45"/>
    <w:rsid w:val="006B1879"/>
    <w:rsid w:val="006B2C17"/>
    <w:rsid w:val="006B6226"/>
    <w:rsid w:val="006C79F0"/>
    <w:rsid w:val="006D55AC"/>
    <w:rsid w:val="006E0070"/>
    <w:rsid w:val="006E0591"/>
    <w:rsid w:val="006E4CE6"/>
    <w:rsid w:val="006F1A7B"/>
    <w:rsid w:val="006F6721"/>
    <w:rsid w:val="00701399"/>
    <w:rsid w:val="00703BE1"/>
    <w:rsid w:val="00706902"/>
    <w:rsid w:val="007070AE"/>
    <w:rsid w:val="00711427"/>
    <w:rsid w:val="00731B3F"/>
    <w:rsid w:val="00736D8B"/>
    <w:rsid w:val="00736EE3"/>
    <w:rsid w:val="007372F2"/>
    <w:rsid w:val="00741231"/>
    <w:rsid w:val="0074418D"/>
    <w:rsid w:val="00746357"/>
    <w:rsid w:val="0075331B"/>
    <w:rsid w:val="00754802"/>
    <w:rsid w:val="00754843"/>
    <w:rsid w:val="00764B58"/>
    <w:rsid w:val="007655F9"/>
    <w:rsid w:val="0077210C"/>
    <w:rsid w:val="00783452"/>
    <w:rsid w:val="00783596"/>
    <w:rsid w:val="00785A6F"/>
    <w:rsid w:val="007915D3"/>
    <w:rsid w:val="00793408"/>
    <w:rsid w:val="00795BD9"/>
    <w:rsid w:val="007A126B"/>
    <w:rsid w:val="007A497C"/>
    <w:rsid w:val="007A6B5F"/>
    <w:rsid w:val="007B05EF"/>
    <w:rsid w:val="007C0B41"/>
    <w:rsid w:val="007C40D4"/>
    <w:rsid w:val="007D46CE"/>
    <w:rsid w:val="007E1A41"/>
    <w:rsid w:val="007E4F71"/>
    <w:rsid w:val="007F6622"/>
    <w:rsid w:val="008007CF"/>
    <w:rsid w:val="008008EE"/>
    <w:rsid w:val="00801151"/>
    <w:rsid w:val="00801BA8"/>
    <w:rsid w:val="0081576A"/>
    <w:rsid w:val="008178A2"/>
    <w:rsid w:val="00823831"/>
    <w:rsid w:val="008271C1"/>
    <w:rsid w:val="00832007"/>
    <w:rsid w:val="00834F19"/>
    <w:rsid w:val="00836951"/>
    <w:rsid w:val="008413F0"/>
    <w:rsid w:val="008426EC"/>
    <w:rsid w:val="00842751"/>
    <w:rsid w:val="00852BC0"/>
    <w:rsid w:val="00863561"/>
    <w:rsid w:val="00865A43"/>
    <w:rsid w:val="00873D96"/>
    <w:rsid w:val="008777DF"/>
    <w:rsid w:val="008825A3"/>
    <w:rsid w:val="008858A0"/>
    <w:rsid w:val="00885DFC"/>
    <w:rsid w:val="00887927"/>
    <w:rsid w:val="00894FE9"/>
    <w:rsid w:val="008A14C7"/>
    <w:rsid w:val="008A1E1C"/>
    <w:rsid w:val="008B680D"/>
    <w:rsid w:val="008B70E6"/>
    <w:rsid w:val="008C548E"/>
    <w:rsid w:val="008C5629"/>
    <w:rsid w:val="008C597B"/>
    <w:rsid w:val="008C6552"/>
    <w:rsid w:val="008D3156"/>
    <w:rsid w:val="008D3AC8"/>
    <w:rsid w:val="008D5EB2"/>
    <w:rsid w:val="008E0C8E"/>
    <w:rsid w:val="008E3155"/>
    <w:rsid w:val="008F1D56"/>
    <w:rsid w:val="008F256B"/>
    <w:rsid w:val="00901B46"/>
    <w:rsid w:val="009109D7"/>
    <w:rsid w:val="009125AD"/>
    <w:rsid w:val="009153D6"/>
    <w:rsid w:val="00922138"/>
    <w:rsid w:val="00923472"/>
    <w:rsid w:val="00932410"/>
    <w:rsid w:val="009328CF"/>
    <w:rsid w:val="00933A3B"/>
    <w:rsid w:val="00935640"/>
    <w:rsid w:val="00944C19"/>
    <w:rsid w:val="00945E13"/>
    <w:rsid w:val="00947EF4"/>
    <w:rsid w:val="00952297"/>
    <w:rsid w:val="00953117"/>
    <w:rsid w:val="00953CD4"/>
    <w:rsid w:val="00960E2E"/>
    <w:rsid w:val="00961653"/>
    <w:rsid w:val="009630F9"/>
    <w:rsid w:val="009663C0"/>
    <w:rsid w:val="00974310"/>
    <w:rsid w:val="0098510B"/>
    <w:rsid w:val="00985C87"/>
    <w:rsid w:val="009905D3"/>
    <w:rsid w:val="00990CED"/>
    <w:rsid w:val="00996792"/>
    <w:rsid w:val="009A0368"/>
    <w:rsid w:val="009B1F21"/>
    <w:rsid w:val="009B220A"/>
    <w:rsid w:val="009B3986"/>
    <w:rsid w:val="009B4A5A"/>
    <w:rsid w:val="009C04AA"/>
    <w:rsid w:val="009C1CF6"/>
    <w:rsid w:val="009C31BF"/>
    <w:rsid w:val="009C4B86"/>
    <w:rsid w:val="009D269F"/>
    <w:rsid w:val="009E2EC6"/>
    <w:rsid w:val="009E423F"/>
    <w:rsid w:val="00A030AE"/>
    <w:rsid w:val="00A06F98"/>
    <w:rsid w:val="00A20D8D"/>
    <w:rsid w:val="00A2122E"/>
    <w:rsid w:val="00A2754A"/>
    <w:rsid w:val="00A335FC"/>
    <w:rsid w:val="00A35E18"/>
    <w:rsid w:val="00A41941"/>
    <w:rsid w:val="00A46573"/>
    <w:rsid w:val="00A47C45"/>
    <w:rsid w:val="00A47D82"/>
    <w:rsid w:val="00A52B16"/>
    <w:rsid w:val="00A6576F"/>
    <w:rsid w:val="00A70CF8"/>
    <w:rsid w:val="00A75A7D"/>
    <w:rsid w:val="00A76FEC"/>
    <w:rsid w:val="00A80EA1"/>
    <w:rsid w:val="00A86A66"/>
    <w:rsid w:val="00A95A40"/>
    <w:rsid w:val="00AA098D"/>
    <w:rsid w:val="00AA1E09"/>
    <w:rsid w:val="00AA49E6"/>
    <w:rsid w:val="00AA7BD8"/>
    <w:rsid w:val="00AB3501"/>
    <w:rsid w:val="00AC2937"/>
    <w:rsid w:val="00AC2B48"/>
    <w:rsid w:val="00AC4EAB"/>
    <w:rsid w:val="00AD06C8"/>
    <w:rsid w:val="00AD1A66"/>
    <w:rsid w:val="00AD4074"/>
    <w:rsid w:val="00AE3E89"/>
    <w:rsid w:val="00AE64E2"/>
    <w:rsid w:val="00AF3CD2"/>
    <w:rsid w:val="00B06F42"/>
    <w:rsid w:val="00B1113C"/>
    <w:rsid w:val="00B15687"/>
    <w:rsid w:val="00B22CA4"/>
    <w:rsid w:val="00B243CD"/>
    <w:rsid w:val="00B250BA"/>
    <w:rsid w:val="00B26011"/>
    <w:rsid w:val="00B3365E"/>
    <w:rsid w:val="00B34296"/>
    <w:rsid w:val="00B43C5C"/>
    <w:rsid w:val="00B44D9E"/>
    <w:rsid w:val="00B45805"/>
    <w:rsid w:val="00B45873"/>
    <w:rsid w:val="00B47C96"/>
    <w:rsid w:val="00B511DE"/>
    <w:rsid w:val="00B53A07"/>
    <w:rsid w:val="00B54B71"/>
    <w:rsid w:val="00B561E5"/>
    <w:rsid w:val="00B61F67"/>
    <w:rsid w:val="00B63AFA"/>
    <w:rsid w:val="00B6467E"/>
    <w:rsid w:val="00B64781"/>
    <w:rsid w:val="00B72416"/>
    <w:rsid w:val="00B903C1"/>
    <w:rsid w:val="00B90938"/>
    <w:rsid w:val="00B920A9"/>
    <w:rsid w:val="00B9297A"/>
    <w:rsid w:val="00B95656"/>
    <w:rsid w:val="00B97681"/>
    <w:rsid w:val="00BA3263"/>
    <w:rsid w:val="00BA7AD0"/>
    <w:rsid w:val="00BB10B8"/>
    <w:rsid w:val="00BB1EA8"/>
    <w:rsid w:val="00BB2168"/>
    <w:rsid w:val="00BB258A"/>
    <w:rsid w:val="00BB4327"/>
    <w:rsid w:val="00BB5385"/>
    <w:rsid w:val="00BB60FC"/>
    <w:rsid w:val="00BB6130"/>
    <w:rsid w:val="00BC60AA"/>
    <w:rsid w:val="00BD4953"/>
    <w:rsid w:val="00BD653A"/>
    <w:rsid w:val="00BE0A2E"/>
    <w:rsid w:val="00BE1D61"/>
    <w:rsid w:val="00BE470E"/>
    <w:rsid w:val="00BE665A"/>
    <w:rsid w:val="00BF1A1C"/>
    <w:rsid w:val="00BF266C"/>
    <w:rsid w:val="00BF45B6"/>
    <w:rsid w:val="00BF7FBF"/>
    <w:rsid w:val="00C00F19"/>
    <w:rsid w:val="00C02CCD"/>
    <w:rsid w:val="00C06BE1"/>
    <w:rsid w:val="00C100D7"/>
    <w:rsid w:val="00C11070"/>
    <w:rsid w:val="00C126D0"/>
    <w:rsid w:val="00C1330D"/>
    <w:rsid w:val="00C145B9"/>
    <w:rsid w:val="00C37042"/>
    <w:rsid w:val="00C375C8"/>
    <w:rsid w:val="00C505A5"/>
    <w:rsid w:val="00C51C1F"/>
    <w:rsid w:val="00C51EB0"/>
    <w:rsid w:val="00C54CD8"/>
    <w:rsid w:val="00C55E7D"/>
    <w:rsid w:val="00C564C0"/>
    <w:rsid w:val="00C62431"/>
    <w:rsid w:val="00C65946"/>
    <w:rsid w:val="00C67B56"/>
    <w:rsid w:val="00C7116F"/>
    <w:rsid w:val="00C80130"/>
    <w:rsid w:val="00C80AAB"/>
    <w:rsid w:val="00C83E4C"/>
    <w:rsid w:val="00C844B1"/>
    <w:rsid w:val="00C85127"/>
    <w:rsid w:val="00C8540C"/>
    <w:rsid w:val="00C874EE"/>
    <w:rsid w:val="00C87BC2"/>
    <w:rsid w:val="00C91132"/>
    <w:rsid w:val="00C943C6"/>
    <w:rsid w:val="00CA6023"/>
    <w:rsid w:val="00CB038E"/>
    <w:rsid w:val="00CB179F"/>
    <w:rsid w:val="00CB1ECB"/>
    <w:rsid w:val="00CB3DDA"/>
    <w:rsid w:val="00CB3FC5"/>
    <w:rsid w:val="00CB65FF"/>
    <w:rsid w:val="00CB707A"/>
    <w:rsid w:val="00CC0E79"/>
    <w:rsid w:val="00CC2DCD"/>
    <w:rsid w:val="00CC3381"/>
    <w:rsid w:val="00CD0E11"/>
    <w:rsid w:val="00CD3CFB"/>
    <w:rsid w:val="00CD3E26"/>
    <w:rsid w:val="00CD4E84"/>
    <w:rsid w:val="00CD55A8"/>
    <w:rsid w:val="00CD64CE"/>
    <w:rsid w:val="00CE0608"/>
    <w:rsid w:val="00CE19E7"/>
    <w:rsid w:val="00CE44E4"/>
    <w:rsid w:val="00CF1455"/>
    <w:rsid w:val="00CF1C03"/>
    <w:rsid w:val="00CF4E65"/>
    <w:rsid w:val="00D02080"/>
    <w:rsid w:val="00D108FD"/>
    <w:rsid w:val="00D23099"/>
    <w:rsid w:val="00D2760D"/>
    <w:rsid w:val="00D31769"/>
    <w:rsid w:val="00D32EEB"/>
    <w:rsid w:val="00D41085"/>
    <w:rsid w:val="00D54424"/>
    <w:rsid w:val="00D61383"/>
    <w:rsid w:val="00D6244E"/>
    <w:rsid w:val="00D7645D"/>
    <w:rsid w:val="00D77322"/>
    <w:rsid w:val="00D82BE2"/>
    <w:rsid w:val="00D848EB"/>
    <w:rsid w:val="00D909AE"/>
    <w:rsid w:val="00D921C4"/>
    <w:rsid w:val="00DA4A09"/>
    <w:rsid w:val="00DB0B50"/>
    <w:rsid w:val="00DB2070"/>
    <w:rsid w:val="00DB20FB"/>
    <w:rsid w:val="00DB371B"/>
    <w:rsid w:val="00DB5032"/>
    <w:rsid w:val="00DC5035"/>
    <w:rsid w:val="00DD305F"/>
    <w:rsid w:val="00DD3CE1"/>
    <w:rsid w:val="00DD4325"/>
    <w:rsid w:val="00DE635A"/>
    <w:rsid w:val="00DE6531"/>
    <w:rsid w:val="00DF013F"/>
    <w:rsid w:val="00DF177F"/>
    <w:rsid w:val="00DF1CD2"/>
    <w:rsid w:val="00DF4DEE"/>
    <w:rsid w:val="00E00F96"/>
    <w:rsid w:val="00E06293"/>
    <w:rsid w:val="00E078AC"/>
    <w:rsid w:val="00E16EC6"/>
    <w:rsid w:val="00E2018F"/>
    <w:rsid w:val="00E26783"/>
    <w:rsid w:val="00E269A2"/>
    <w:rsid w:val="00E27966"/>
    <w:rsid w:val="00E32B4B"/>
    <w:rsid w:val="00E35A4A"/>
    <w:rsid w:val="00E3696F"/>
    <w:rsid w:val="00E37B73"/>
    <w:rsid w:val="00E41036"/>
    <w:rsid w:val="00E41DE5"/>
    <w:rsid w:val="00E46FC5"/>
    <w:rsid w:val="00E47153"/>
    <w:rsid w:val="00E51A9E"/>
    <w:rsid w:val="00E51E27"/>
    <w:rsid w:val="00E54564"/>
    <w:rsid w:val="00E5598A"/>
    <w:rsid w:val="00E55A84"/>
    <w:rsid w:val="00E56F58"/>
    <w:rsid w:val="00E578B7"/>
    <w:rsid w:val="00E6794A"/>
    <w:rsid w:val="00E80F67"/>
    <w:rsid w:val="00E82061"/>
    <w:rsid w:val="00E83F41"/>
    <w:rsid w:val="00E84500"/>
    <w:rsid w:val="00E8481E"/>
    <w:rsid w:val="00E8748A"/>
    <w:rsid w:val="00E92444"/>
    <w:rsid w:val="00E93106"/>
    <w:rsid w:val="00E93A67"/>
    <w:rsid w:val="00E96631"/>
    <w:rsid w:val="00ED6578"/>
    <w:rsid w:val="00EE448C"/>
    <w:rsid w:val="00EE6264"/>
    <w:rsid w:val="00EF06FC"/>
    <w:rsid w:val="00EF116C"/>
    <w:rsid w:val="00EF2B05"/>
    <w:rsid w:val="00EF3F18"/>
    <w:rsid w:val="00EF4341"/>
    <w:rsid w:val="00EF5872"/>
    <w:rsid w:val="00F048D5"/>
    <w:rsid w:val="00F120F6"/>
    <w:rsid w:val="00F1252F"/>
    <w:rsid w:val="00F125C0"/>
    <w:rsid w:val="00F1513B"/>
    <w:rsid w:val="00F16852"/>
    <w:rsid w:val="00F171CA"/>
    <w:rsid w:val="00F17A5C"/>
    <w:rsid w:val="00F229D9"/>
    <w:rsid w:val="00F23879"/>
    <w:rsid w:val="00F2665F"/>
    <w:rsid w:val="00F26DC4"/>
    <w:rsid w:val="00F3033D"/>
    <w:rsid w:val="00F33F87"/>
    <w:rsid w:val="00F346CD"/>
    <w:rsid w:val="00F41A35"/>
    <w:rsid w:val="00F42BE9"/>
    <w:rsid w:val="00F43466"/>
    <w:rsid w:val="00F43C87"/>
    <w:rsid w:val="00F44713"/>
    <w:rsid w:val="00F453D1"/>
    <w:rsid w:val="00F667F8"/>
    <w:rsid w:val="00F67349"/>
    <w:rsid w:val="00F67547"/>
    <w:rsid w:val="00F707D4"/>
    <w:rsid w:val="00F71824"/>
    <w:rsid w:val="00F7293F"/>
    <w:rsid w:val="00F73FDA"/>
    <w:rsid w:val="00F76AAB"/>
    <w:rsid w:val="00F76D78"/>
    <w:rsid w:val="00F80E89"/>
    <w:rsid w:val="00F8366C"/>
    <w:rsid w:val="00F84284"/>
    <w:rsid w:val="00F93878"/>
    <w:rsid w:val="00FA0917"/>
    <w:rsid w:val="00FA5BC5"/>
    <w:rsid w:val="00FA7E1E"/>
    <w:rsid w:val="00FB71F8"/>
    <w:rsid w:val="00FC3172"/>
    <w:rsid w:val="00FC35D4"/>
    <w:rsid w:val="00FC3FF8"/>
    <w:rsid w:val="00FC49C3"/>
    <w:rsid w:val="00FF4BAC"/>
    <w:rsid w:val="01404330"/>
    <w:rsid w:val="018505FE"/>
    <w:rsid w:val="02296A61"/>
    <w:rsid w:val="02FF3C5B"/>
    <w:rsid w:val="03293BD9"/>
    <w:rsid w:val="03850375"/>
    <w:rsid w:val="03BE0904"/>
    <w:rsid w:val="040E27E3"/>
    <w:rsid w:val="043214E6"/>
    <w:rsid w:val="044F239F"/>
    <w:rsid w:val="04B2794F"/>
    <w:rsid w:val="04BC4200"/>
    <w:rsid w:val="04CD6D92"/>
    <w:rsid w:val="04E458B8"/>
    <w:rsid w:val="04FA360E"/>
    <w:rsid w:val="052C079D"/>
    <w:rsid w:val="05321586"/>
    <w:rsid w:val="05650DC5"/>
    <w:rsid w:val="05913A50"/>
    <w:rsid w:val="05EC0C2B"/>
    <w:rsid w:val="060A1CEF"/>
    <w:rsid w:val="062A296F"/>
    <w:rsid w:val="065E202A"/>
    <w:rsid w:val="07307EE3"/>
    <w:rsid w:val="077070DA"/>
    <w:rsid w:val="07986129"/>
    <w:rsid w:val="07CF4038"/>
    <w:rsid w:val="07D90CBB"/>
    <w:rsid w:val="0872208A"/>
    <w:rsid w:val="0881678C"/>
    <w:rsid w:val="0920400A"/>
    <w:rsid w:val="09423A3D"/>
    <w:rsid w:val="09C5285F"/>
    <w:rsid w:val="09C95CF9"/>
    <w:rsid w:val="09E06119"/>
    <w:rsid w:val="0A1B52F6"/>
    <w:rsid w:val="0A907041"/>
    <w:rsid w:val="0BE70ECD"/>
    <w:rsid w:val="0C0579C9"/>
    <w:rsid w:val="0C367934"/>
    <w:rsid w:val="0C4D73E5"/>
    <w:rsid w:val="0C58465E"/>
    <w:rsid w:val="0C7B0DDC"/>
    <w:rsid w:val="0C90356B"/>
    <w:rsid w:val="0D9A5909"/>
    <w:rsid w:val="0DF70EDC"/>
    <w:rsid w:val="0E2C6F43"/>
    <w:rsid w:val="0E451A6D"/>
    <w:rsid w:val="0E8E0425"/>
    <w:rsid w:val="0EB4744E"/>
    <w:rsid w:val="0EB62A27"/>
    <w:rsid w:val="0F9968F7"/>
    <w:rsid w:val="0FB72A7D"/>
    <w:rsid w:val="0FE7370A"/>
    <w:rsid w:val="0FE93019"/>
    <w:rsid w:val="101F50C8"/>
    <w:rsid w:val="105E3412"/>
    <w:rsid w:val="10803007"/>
    <w:rsid w:val="10AE25B6"/>
    <w:rsid w:val="10ED6D4C"/>
    <w:rsid w:val="10F07FFC"/>
    <w:rsid w:val="11145CF7"/>
    <w:rsid w:val="1137520D"/>
    <w:rsid w:val="126E269F"/>
    <w:rsid w:val="128621FF"/>
    <w:rsid w:val="12F22545"/>
    <w:rsid w:val="12FD401A"/>
    <w:rsid w:val="1307224C"/>
    <w:rsid w:val="130B1F0C"/>
    <w:rsid w:val="133C7F0B"/>
    <w:rsid w:val="13500D78"/>
    <w:rsid w:val="13951BFA"/>
    <w:rsid w:val="13BA4949"/>
    <w:rsid w:val="140A26F1"/>
    <w:rsid w:val="14433EF9"/>
    <w:rsid w:val="14EE0842"/>
    <w:rsid w:val="155E49DD"/>
    <w:rsid w:val="15967E24"/>
    <w:rsid w:val="159869EE"/>
    <w:rsid w:val="159F5350"/>
    <w:rsid w:val="15C1231A"/>
    <w:rsid w:val="15FE2743"/>
    <w:rsid w:val="15FE5D2E"/>
    <w:rsid w:val="16512991"/>
    <w:rsid w:val="17115C3B"/>
    <w:rsid w:val="17506491"/>
    <w:rsid w:val="179B075A"/>
    <w:rsid w:val="17A773C5"/>
    <w:rsid w:val="17D83A8B"/>
    <w:rsid w:val="181B2644"/>
    <w:rsid w:val="18540B55"/>
    <w:rsid w:val="18782177"/>
    <w:rsid w:val="187A6832"/>
    <w:rsid w:val="1893051C"/>
    <w:rsid w:val="18C61D29"/>
    <w:rsid w:val="18CE4247"/>
    <w:rsid w:val="18DE02CF"/>
    <w:rsid w:val="198F287E"/>
    <w:rsid w:val="19AB642B"/>
    <w:rsid w:val="19D23063"/>
    <w:rsid w:val="1B1839D5"/>
    <w:rsid w:val="1B5E6BE9"/>
    <w:rsid w:val="1C0F5EE7"/>
    <w:rsid w:val="1C3B2CC3"/>
    <w:rsid w:val="1D241D90"/>
    <w:rsid w:val="1D915B14"/>
    <w:rsid w:val="1DC77330"/>
    <w:rsid w:val="1E4A3064"/>
    <w:rsid w:val="1ED5495C"/>
    <w:rsid w:val="1ED63FF0"/>
    <w:rsid w:val="1F9364D4"/>
    <w:rsid w:val="1FEC0779"/>
    <w:rsid w:val="2001041F"/>
    <w:rsid w:val="20046449"/>
    <w:rsid w:val="203420B5"/>
    <w:rsid w:val="20CE6685"/>
    <w:rsid w:val="20DA5467"/>
    <w:rsid w:val="20E95D54"/>
    <w:rsid w:val="20EB55D7"/>
    <w:rsid w:val="21025E32"/>
    <w:rsid w:val="210548A3"/>
    <w:rsid w:val="21706A6D"/>
    <w:rsid w:val="21964678"/>
    <w:rsid w:val="21A85F1E"/>
    <w:rsid w:val="2246693F"/>
    <w:rsid w:val="227671D2"/>
    <w:rsid w:val="22914105"/>
    <w:rsid w:val="229F1418"/>
    <w:rsid w:val="22B35395"/>
    <w:rsid w:val="22EF5136"/>
    <w:rsid w:val="23255681"/>
    <w:rsid w:val="232F787E"/>
    <w:rsid w:val="240A7837"/>
    <w:rsid w:val="24490A8E"/>
    <w:rsid w:val="245F43F4"/>
    <w:rsid w:val="24824468"/>
    <w:rsid w:val="248D0E85"/>
    <w:rsid w:val="254164B1"/>
    <w:rsid w:val="2587310A"/>
    <w:rsid w:val="25CB530B"/>
    <w:rsid w:val="261151BF"/>
    <w:rsid w:val="26290CB5"/>
    <w:rsid w:val="26422A1F"/>
    <w:rsid w:val="26811203"/>
    <w:rsid w:val="26DA0892"/>
    <w:rsid w:val="26E22037"/>
    <w:rsid w:val="2743474A"/>
    <w:rsid w:val="278F4BA4"/>
    <w:rsid w:val="27921471"/>
    <w:rsid w:val="27D5257E"/>
    <w:rsid w:val="281E4418"/>
    <w:rsid w:val="2844562C"/>
    <w:rsid w:val="289D3062"/>
    <w:rsid w:val="28BC7F61"/>
    <w:rsid w:val="28CA7134"/>
    <w:rsid w:val="28DA6734"/>
    <w:rsid w:val="29003811"/>
    <w:rsid w:val="290107F6"/>
    <w:rsid w:val="29350FF9"/>
    <w:rsid w:val="299E5F62"/>
    <w:rsid w:val="299F4953"/>
    <w:rsid w:val="29A535D7"/>
    <w:rsid w:val="29AA1262"/>
    <w:rsid w:val="2A0075D8"/>
    <w:rsid w:val="2A0812C4"/>
    <w:rsid w:val="2A0C5344"/>
    <w:rsid w:val="2A8F0AAB"/>
    <w:rsid w:val="2AA36AAC"/>
    <w:rsid w:val="2B04174C"/>
    <w:rsid w:val="2B1F7128"/>
    <w:rsid w:val="2B56401B"/>
    <w:rsid w:val="2BA76642"/>
    <w:rsid w:val="2BD0760F"/>
    <w:rsid w:val="2BD17CF6"/>
    <w:rsid w:val="2C24259D"/>
    <w:rsid w:val="2C9A21FB"/>
    <w:rsid w:val="2CB403F5"/>
    <w:rsid w:val="2CCA7BE8"/>
    <w:rsid w:val="2CDE2B6E"/>
    <w:rsid w:val="2D31594B"/>
    <w:rsid w:val="2D457285"/>
    <w:rsid w:val="2DC44111"/>
    <w:rsid w:val="2E03020C"/>
    <w:rsid w:val="2E24430B"/>
    <w:rsid w:val="2E262354"/>
    <w:rsid w:val="2E773EBA"/>
    <w:rsid w:val="2E871884"/>
    <w:rsid w:val="2E9074BF"/>
    <w:rsid w:val="2E993536"/>
    <w:rsid w:val="2EFC7DAC"/>
    <w:rsid w:val="2F346462"/>
    <w:rsid w:val="2F73598E"/>
    <w:rsid w:val="2F7F0ECF"/>
    <w:rsid w:val="2FE337D0"/>
    <w:rsid w:val="303754C2"/>
    <w:rsid w:val="306D3E79"/>
    <w:rsid w:val="30945975"/>
    <w:rsid w:val="30BE5002"/>
    <w:rsid w:val="30CC6AB7"/>
    <w:rsid w:val="310223B7"/>
    <w:rsid w:val="31412912"/>
    <w:rsid w:val="314B3B5F"/>
    <w:rsid w:val="315F7297"/>
    <w:rsid w:val="31636561"/>
    <w:rsid w:val="32181C31"/>
    <w:rsid w:val="32233A11"/>
    <w:rsid w:val="325758B2"/>
    <w:rsid w:val="326B56CF"/>
    <w:rsid w:val="32FE6B93"/>
    <w:rsid w:val="33265537"/>
    <w:rsid w:val="3354422F"/>
    <w:rsid w:val="33614B93"/>
    <w:rsid w:val="337A1B80"/>
    <w:rsid w:val="337B4DE3"/>
    <w:rsid w:val="33AC61EF"/>
    <w:rsid w:val="33CD2BD3"/>
    <w:rsid w:val="33F96121"/>
    <w:rsid w:val="33FE7909"/>
    <w:rsid w:val="34427DA4"/>
    <w:rsid w:val="3491513E"/>
    <w:rsid w:val="34BB78F3"/>
    <w:rsid w:val="34BE5A24"/>
    <w:rsid w:val="34DD2C2D"/>
    <w:rsid w:val="35127DBA"/>
    <w:rsid w:val="35480D0E"/>
    <w:rsid w:val="354E2C3A"/>
    <w:rsid w:val="356B239D"/>
    <w:rsid w:val="357B1B01"/>
    <w:rsid w:val="35CE12DC"/>
    <w:rsid w:val="36086D6F"/>
    <w:rsid w:val="368E48BF"/>
    <w:rsid w:val="36946A1B"/>
    <w:rsid w:val="369D2C59"/>
    <w:rsid w:val="36AC208A"/>
    <w:rsid w:val="36B61874"/>
    <w:rsid w:val="36E11CA4"/>
    <w:rsid w:val="36E84554"/>
    <w:rsid w:val="3716407F"/>
    <w:rsid w:val="372B0AE1"/>
    <w:rsid w:val="3768350E"/>
    <w:rsid w:val="37972EC4"/>
    <w:rsid w:val="37EE742B"/>
    <w:rsid w:val="38005231"/>
    <w:rsid w:val="380829DA"/>
    <w:rsid w:val="384253C6"/>
    <w:rsid w:val="38F23220"/>
    <w:rsid w:val="391E15EE"/>
    <w:rsid w:val="393F05FD"/>
    <w:rsid w:val="39597599"/>
    <w:rsid w:val="397D7B20"/>
    <w:rsid w:val="39A766FF"/>
    <w:rsid w:val="39BC591B"/>
    <w:rsid w:val="39C458FC"/>
    <w:rsid w:val="3A902F06"/>
    <w:rsid w:val="3A9A1671"/>
    <w:rsid w:val="3AFE1534"/>
    <w:rsid w:val="3B810030"/>
    <w:rsid w:val="3B837DBD"/>
    <w:rsid w:val="3BB17E49"/>
    <w:rsid w:val="3BC21E51"/>
    <w:rsid w:val="3BDF3C42"/>
    <w:rsid w:val="3BF30D01"/>
    <w:rsid w:val="3C0C2F26"/>
    <w:rsid w:val="3C2314E1"/>
    <w:rsid w:val="3C474E46"/>
    <w:rsid w:val="3C7200B7"/>
    <w:rsid w:val="3D3F54E6"/>
    <w:rsid w:val="3D407382"/>
    <w:rsid w:val="3D47526D"/>
    <w:rsid w:val="3D5F72EE"/>
    <w:rsid w:val="3D6F2A79"/>
    <w:rsid w:val="3DFB6DE9"/>
    <w:rsid w:val="3EC40AE1"/>
    <w:rsid w:val="3EF76AD3"/>
    <w:rsid w:val="3F2B64D7"/>
    <w:rsid w:val="3F460EF1"/>
    <w:rsid w:val="3F862FCC"/>
    <w:rsid w:val="3F95404D"/>
    <w:rsid w:val="3FAA0DDC"/>
    <w:rsid w:val="3FDA35B9"/>
    <w:rsid w:val="3FE3683C"/>
    <w:rsid w:val="400E687B"/>
    <w:rsid w:val="40356F5B"/>
    <w:rsid w:val="403B7880"/>
    <w:rsid w:val="408A61E9"/>
    <w:rsid w:val="409D3143"/>
    <w:rsid w:val="40A03437"/>
    <w:rsid w:val="40A315E2"/>
    <w:rsid w:val="40D60CE3"/>
    <w:rsid w:val="40D92EFC"/>
    <w:rsid w:val="41042939"/>
    <w:rsid w:val="41482DA7"/>
    <w:rsid w:val="41856887"/>
    <w:rsid w:val="429D4682"/>
    <w:rsid w:val="42BB3573"/>
    <w:rsid w:val="42D24230"/>
    <w:rsid w:val="43116605"/>
    <w:rsid w:val="43374CF4"/>
    <w:rsid w:val="43A13EB2"/>
    <w:rsid w:val="43D90AC7"/>
    <w:rsid w:val="43F313C5"/>
    <w:rsid w:val="44562F2D"/>
    <w:rsid w:val="44631BC0"/>
    <w:rsid w:val="44A3452E"/>
    <w:rsid w:val="44B84CF7"/>
    <w:rsid w:val="44B85BF8"/>
    <w:rsid w:val="44E7393F"/>
    <w:rsid w:val="44FF3A4F"/>
    <w:rsid w:val="45377330"/>
    <w:rsid w:val="45B45D70"/>
    <w:rsid w:val="45D351DF"/>
    <w:rsid w:val="45D54258"/>
    <w:rsid w:val="45EB1112"/>
    <w:rsid w:val="45EE6E67"/>
    <w:rsid w:val="46150F1E"/>
    <w:rsid w:val="46205B9D"/>
    <w:rsid w:val="464E0242"/>
    <w:rsid w:val="467D7BCE"/>
    <w:rsid w:val="4680545B"/>
    <w:rsid w:val="46860F2C"/>
    <w:rsid w:val="46BD21BF"/>
    <w:rsid w:val="46C30DD7"/>
    <w:rsid w:val="47491295"/>
    <w:rsid w:val="475219F6"/>
    <w:rsid w:val="47B552D9"/>
    <w:rsid w:val="482B5905"/>
    <w:rsid w:val="48766B8C"/>
    <w:rsid w:val="48AA7864"/>
    <w:rsid w:val="48F50FC9"/>
    <w:rsid w:val="49094797"/>
    <w:rsid w:val="49DF13AF"/>
    <w:rsid w:val="4A284D4D"/>
    <w:rsid w:val="4AA8111A"/>
    <w:rsid w:val="4AC838E4"/>
    <w:rsid w:val="4AE4554E"/>
    <w:rsid w:val="4B137639"/>
    <w:rsid w:val="4B670234"/>
    <w:rsid w:val="4BC66F5E"/>
    <w:rsid w:val="4BFB0127"/>
    <w:rsid w:val="4C4F6AB2"/>
    <w:rsid w:val="4C7D6AAB"/>
    <w:rsid w:val="4C931590"/>
    <w:rsid w:val="4CFD0AB5"/>
    <w:rsid w:val="4D25634C"/>
    <w:rsid w:val="4D374709"/>
    <w:rsid w:val="4D646055"/>
    <w:rsid w:val="4D8D08B2"/>
    <w:rsid w:val="4D966B7E"/>
    <w:rsid w:val="4DD41E34"/>
    <w:rsid w:val="4E8E61B2"/>
    <w:rsid w:val="4F2363CC"/>
    <w:rsid w:val="4F557C4A"/>
    <w:rsid w:val="4F6D61DA"/>
    <w:rsid w:val="4F9B5B7A"/>
    <w:rsid w:val="4FA676C2"/>
    <w:rsid w:val="503437A6"/>
    <w:rsid w:val="50CF51A1"/>
    <w:rsid w:val="50D06395"/>
    <w:rsid w:val="50F13F05"/>
    <w:rsid w:val="512E52FB"/>
    <w:rsid w:val="51D67F3A"/>
    <w:rsid w:val="51E51FBC"/>
    <w:rsid w:val="52086F89"/>
    <w:rsid w:val="525458CC"/>
    <w:rsid w:val="52624802"/>
    <w:rsid w:val="5292735E"/>
    <w:rsid w:val="52AF60A4"/>
    <w:rsid w:val="534C2D66"/>
    <w:rsid w:val="53635725"/>
    <w:rsid w:val="5364415A"/>
    <w:rsid w:val="53730691"/>
    <w:rsid w:val="537C0010"/>
    <w:rsid w:val="5388138A"/>
    <w:rsid w:val="53B34D51"/>
    <w:rsid w:val="53DF1886"/>
    <w:rsid w:val="541218FC"/>
    <w:rsid w:val="54975FC2"/>
    <w:rsid w:val="54AA6A66"/>
    <w:rsid w:val="54AB0AA2"/>
    <w:rsid w:val="54DC06DA"/>
    <w:rsid w:val="554229FE"/>
    <w:rsid w:val="554E55A8"/>
    <w:rsid w:val="55C81FDD"/>
    <w:rsid w:val="55CB7248"/>
    <w:rsid w:val="560C31EF"/>
    <w:rsid w:val="560D46CD"/>
    <w:rsid w:val="56380C4B"/>
    <w:rsid w:val="563D4005"/>
    <w:rsid w:val="568C41E3"/>
    <w:rsid w:val="569025BB"/>
    <w:rsid w:val="56C10F5D"/>
    <w:rsid w:val="570229C1"/>
    <w:rsid w:val="572E027D"/>
    <w:rsid w:val="576D77B5"/>
    <w:rsid w:val="57C05886"/>
    <w:rsid w:val="57D05252"/>
    <w:rsid w:val="58043910"/>
    <w:rsid w:val="580F0862"/>
    <w:rsid w:val="58140647"/>
    <w:rsid w:val="585251DF"/>
    <w:rsid w:val="58A23BDF"/>
    <w:rsid w:val="58C55559"/>
    <w:rsid w:val="58DA17C4"/>
    <w:rsid w:val="59315795"/>
    <w:rsid w:val="593B6BF7"/>
    <w:rsid w:val="594515A0"/>
    <w:rsid w:val="595074C0"/>
    <w:rsid w:val="59576AEC"/>
    <w:rsid w:val="59633FF0"/>
    <w:rsid w:val="596B7565"/>
    <w:rsid w:val="596C06BB"/>
    <w:rsid w:val="59882554"/>
    <w:rsid w:val="598D22D4"/>
    <w:rsid w:val="5994416A"/>
    <w:rsid w:val="5A726E57"/>
    <w:rsid w:val="5AB56D5A"/>
    <w:rsid w:val="5ACE62D4"/>
    <w:rsid w:val="5B3155C6"/>
    <w:rsid w:val="5BB836B7"/>
    <w:rsid w:val="5BE82147"/>
    <w:rsid w:val="5C4B167C"/>
    <w:rsid w:val="5C5A539C"/>
    <w:rsid w:val="5C67122F"/>
    <w:rsid w:val="5CCC5278"/>
    <w:rsid w:val="5CDD3184"/>
    <w:rsid w:val="5D496861"/>
    <w:rsid w:val="5D717B60"/>
    <w:rsid w:val="5DD029BA"/>
    <w:rsid w:val="5DD546F0"/>
    <w:rsid w:val="5E445927"/>
    <w:rsid w:val="5EA1445D"/>
    <w:rsid w:val="5EEA53DD"/>
    <w:rsid w:val="5EF7335E"/>
    <w:rsid w:val="5F0D41CC"/>
    <w:rsid w:val="5F1B0AA8"/>
    <w:rsid w:val="5F215BE5"/>
    <w:rsid w:val="5F2A6C47"/>
    <w:rsid w:val="5F2C5E60"/>
    <w:rsid w:val="5F604E1B"/>
    <w:rsid w:val="5F6A7E7C"/>
    <w:rsid w:val="5FB31FB5"/>
    <w:rsid w:val="60282402"/>
    <w:rsid w:val="60A5282C"/>
    <w:rsid w:val="60EC403A"/>
    <w:rsid w:val="61073063"/>
    <w:rsid w:val="614A77DE"/>
    <w:rsid w:val="61581F42"/>
    <w:rsid w:val="61EE74D7"/>
    <w:rsid w:val="6242160A"/>
    <w:rsid w:val="62481E0F"/>
    <w:rsid w:val="626E0299"/>
    <w:rsid w:val="629D326C"/>
    <w:rsid w:val="630C3F95"/>
    <w:rsid w:val="634A36E8"/>
    <w:rsid w:val="63570C7F"/>
    <w:rsid w:val="64055F8C"/>
    <w:rsid w:val="641F5CF2"/>
    <w:rsid w:val="64295E23"/>
    <w:rsid w:val="64417CE2"/>
    <w:rsid w:val="66074764"/>
    <w:rsid w:val="663C388D"/>
    <w:rsid w:val="66AC731E"/>
    <w:rsid w:val="66BC410C"/>
    <w:rsid w:val="670018E2"/>
    <w:rsid w:val="674268A5"/>
    <w:rsid w:val="67A24415"/>
    <w:rsid w:val="67C959D2"/>
    <w:rsid w:val="68AB4C28"/>
    <w:rsid w:val="691F5CB0"/>
    <w:rsid w:val="692C2216"/>
    <w:rsid w:val="6A2B127E"/>
    <w:rsid w:val="6A3E5D39"/>
    <w:rsid w:val="6A6F317A"/>
    <w:rsid w:val="6ABE353A"/>
    <w:rsid w:val="6B054DEB"/>
    <w:rsid w:val="6B2139D1"/>
    <w:rsid w:val="6BD92EC4"/>
    <w:rsid w:val="6C0F49EB"/>
    <w:rsid w:val="6C384A25"/>
    <w:rsid w:val="6C466926"/>
    <w:rsid w:val="6C485E8A"/>
    <w:rsid w:val="6C5E0984"/>
    <w:rsid w:val="6C771442"/>
    <w:rsid w:val="6CA5263E"/>
    <w:rsid w:val="6CDF3526"/>
    <w:rsid w:val="6CE14280"/>
    <w:rsid w:val="6D36476A"/>
    <w:rsid w:val="6D676999"/>
    <w:rsid w:val="6D6B46C1"/>
    <w:rsid w:val="6D883A6C"/>
    <w:rsid w:val="6DB662A4"/>
    <w:rsid w:val="6E74484D"/>
    <w:rsid w:val="6EA10BA8"/>
    <w:rsid w:val="6F172C41"/>
    <w:rsid w:val="6F2820F9"/>
    <w:rsid w:val="6F5460BB"/>
    <w:rsid w:val="6F591599"/>
    <w:rsid w:val="6F8C7F8C"/>
    <w:rsid w:val="6F97140A"/>
    <w:rsid w:val="6FCE3BF5"/>
    <w:rsid w:val="6FD8502A"/>
    <w:rsid w:val="6FF20D44"/>
    <w:rsid w:val="701B49C2"/>
    <w:rsid w:val="70747597"/>
    <w:rsid w:val="708C7FB4"/>
    <w:rsid w:val="70B3622D"/>
    <w:rsid w:val="70DB426E"/>
    <w:rsid w:val="713332D5"/>
    <w:rsid w:val="71764A9E"/>
    <w:rsid w:val="72806BEC"/>
    <w:rsid w:val="729130E1"/>
    <w:rsid w:val="72EA1372"/>
    <w:rsid w:val="731C0BFD"/>
    <w:rsid w:val="736859EF"/>
    <w:rsid w:val="737761B6"/>
    <w:rsid w:val="73C011BF"/>
    <w:rsid w:val="73F56A8E"/>
    <w:rsid w:val="74097E7A"/>
    <w:rsid w:val="74120164"/>
    <w:rsid w:val="742B714D"/>
    <w:rsid w:val="74380E8C"/>
    <w:rsid w:val="747F6012"/>
    <w:rsid w:val="74A825E5"/>
    <w:rsid w:val="74E81533"/>
    <w:rsid w:val="75291EA3"/>
    <w:rsid w:val="75E44162"/>
    <w:rsid w:val="76131551"/>
    <w:rsid w:val="763C3364"/>
    <w:rsid w:val="76CC2FD9"/>
    <w:rsid w:val="76CC4225"/>
    <w:rsid w:val="771D5092"/>
    <w:rsid w:val="78017000"/>
    <w:rsid w:val="783D35E0"/>
    <w:rsid w:val="78526E6F"/>
    <w:rsid w:val="789822E7"/>
    <w:rsid w:val="78A06E18"/>
    <w:rsid w:val="78DA390E"/>
    <w:rsid w:val="78E51D28"/>
    <w:rsid w:val="790520F8"/>
    <w:rsid w:val="7A282B6C"/>
    <w:rsid w:val="7A30728C"/>
    <w:rsid w:val="7A6E388D"/>
    <w:rsid w:val="7A8B74FD"/>
    <w:rsid w:val="7AE364A4"/>
    <w:rsid w:val="7AF127EF"/>
    <w:rsid w:val="7AF756C8"/>
    <w:rsid w:val="7B066190"/>
    <w:rsid w:val="7B097FB4"/>
    <w:rsid w:val="7B346F9E"/>
    <w:rsid w:val="7B623321"/>
    <w:rsid w:val="7BC048AF"/>
    <w:rsid w:val="7C3B61FA"/>
    <w:rsid w:val="7C781AF1"/>
    <w:rsid w:val="7CDC1B69"/>
    <w:rsid w:val="7D676F18"/>
    <w:rsid w:val="7D6F0192"/>
    <w:rsid w:val="7D9C6067"/>
    <w:rsid w:val="7DB457A9"/>
    <w:rsid w:val="7DC82E65"/>
    <w:rsid w:val="7DD74D93"/>
    <w:rsid w:val="7E4F2ABE"/>
    <w:rsid w:val="7E622DA2"/>
    <w:rsid w:val="7E9457B3"/>
    <w:rsid w:val="7EC93B5E"/>
    <w:rsid w:val="7ECD52B5"/>
    <w:rsid w:val="7F0A0E39"/>
    <w:rsid w:val="7F0F4F50"/>
    <w:rsid w:val="7F45483E"/>
    <w:rsid w:val="7F7043B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semiHidden="0" w:name="heading 7"/>
    <w:lsdException w:qFormat="1" w:uiPriority="9" w:semiHidden="0" w:name="heading 8"/>
    <w:lsdException w:qFormat="1"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nhideWhenUsed="0" w:uiPriority="0" w:semiHidden="0" w:name="Normal Indent"/>
    <w:lsdException w:qFormat="1" w:unhideWhenUsed="0" w:uiPriority="0" w:semiHidden="0" w:name="footnote text"/>
    <w:lsdException w:unhideWhenUsed="0" w:uiPriority="0" w:semiHidden="0" w:name="annotation text"/>
    <w:lsdException w:qFormat="1" w:unhideWhenUsed="0" w:uiPriority="99" w:semiHidden="0" w:name="header"/>
    <w:lsdException w:qFormat="1" w:uiPriority="99"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0" w:semiHidden="0" w:name="Body Text"/>
    <w:lsdException w:qFormat="1" w:unhideWhenUsed="0"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59"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eastAsia="仿宋" w:asciiTheme="minorHAnsi" w:hAnsiTheme="minorHAnsi" w:cstheme="minorBidi"/>
      <w:kern w:val="2"/>
      <w:sz w:val="28"/>
      <w:szCs w:val="24"/>
      <w:lang w:val="en-US" w:eastAsia="zh-CN" w:bidi="ar-SA"/>
    </w:rPr>
  </w:style>
  <w:style w:type="paragraph" w:styleId="2">
    <w:name w:val="heading 1"/>
    <w:basedOn w:val="1"/>
    <w:next w:val="1"/>
    <w:qFormat/>
    <w:uiPriority w:val="9"/>
    <w:pPr>
      <w:keepNext/>
      <w:keepLines/>
      <w:numPr>
        <w:ilvl w:val="0"/>
        <w:numId w:val="1"/>
      </w:numPr>
      <w:tabs>
        <w:tab w:val="left" w:pos="0"/>
      </w:tabs>
      <w:spacing w:before="340" w:after="330" w:line="576" w:lineRule="auto"/>
      <w:outlineLvl w:val="0"/>
    </w:pPr>
    <w:rPr>
      <w:rFonts w:eastAsiaTheme="majorEastAsia"/>
      <w:b/>
      <w:kern w:val="44"/>
      <w:sz w:val="32"/>
    </w:rPr>
  </w:style>
  <w:style w:type="paragraph" w:styleId="3">
    <w:name w:val="heading 2"/>
    <w:basedOn w:val="4"/>
    <w:next w:val="4"/>
    <w:unhideWhenUsed/>
    <w:qFormat/>
    <w:uiPriority w:val="9"/>
    <w:pPr>
      <w:numPr>
        <w:numId w:val="1"/>
      </w:numPr>
      <w:tabs>
        <w:tab w:val="left" w:pos="0"/>
        <w:tab w:val="left" w:pos="720"/>
      </w:tabs>
    </w:pPr>
    <w:rPr>
      <w:rFonts w:ascii="Arial" w:hAnsi="Arial" w:eastAsiaTheme="majorEastAsia"/>
      <w:sz w:val="30"/>
    </w:rPr>
  </w:style>
  <w:style w:type="paragraph" w:styleId="6">
    <w:name w:val="heading 3"/>
    <w:basedOn w:val="1"/>
    <w:next w:val="1"/>
    <w:unhideWhenUsed/>
    <w:qFormat/>
    <w:uiPriority w:val="9"/>
    <w:pPr>
      <w:keepNext/>
      <w:keepLines/>
      <w:numPr>
        <w:ilvl w:val="2"/>
        <w:numId w:val="1"/>
      </w:numPr>
      <w:spacing w:before="260" w:after="260" w:line="413" w:lineRule="auto"/>
      <w:outlineLvl w:val="2"/>
    </w:pPr>
    <w:rPr>
      <w:rFonts w:eastAsiaTheme="majorEastAsia"/>
      <w:b/>
    </w:rPr>
  </w:style>
  <w:style w:type="paragraph" w:styleId="7">
    <w:name w:val="heading 4"/>
    <w:basedOn w:val="1"/>
    <w:next w:val="1"/>
    <w:unhideWhenUsed/>
    <w:qFormat/>
    <w:uiPriority w:val="9"/>
    <w:pPr>
      <w:keepNext/>
      <w:keepLines/>
      <w:numPr>
        <w:ilvl w:val="3"/>
        <w:numId w:val="1"/>
      </w:numPr>
      <w:spacing w:before="280" w:after="290" w:line="372" w:lineRule="auto"/>
      <w:outlineLvl w:val="3"/>
    </w:pPr>
    <w:rPr>
      <w:rFonts w:ascii="Arial" w:hAnsi="Arial" w:eastAsiaTheme="majorEastAsia"/>
      <w:b/>
    </w:rPr>
  </w:style>
  <w:style w:type="paragraph" w:styleId="8">
    <w:name w:val="heading 5"/>
    <w:basedOn w:val="1"/>
    <w:next w:val="1"/>
    <w:link w:val="47"/>
    <w:unhideWhenUsed/>
    <w:qFormat/>
    <w:uiPriority w:val="9"/>
    <w:pPr>
      <w:keepNext/>
      <w:keepLines/>
      <w:numPr>
        <w:ilvl w:val="4"/>
        <w:numId w:val="1"/>
      </w:numPr>
      <w:spacing w:before="280" w:after="290" w:line="372" w:lineRule="auto"/>
      <w:outlineLvl w:val="4"/>
    </w:pPr>
    <w:rPr>
      <w:b/>
    </w:rPr>
  </w:style>
  <w:style w:type="paragraph" w:styleId="9">
    <w:name w:val="heading 6"/>
    <w:basedOn w:val="1"/>
    <w:next w:val="1"/>
    <w:unhideWhenUsed/>
    <w:qFormat/>
    <w:uiPriority w:val="9"/>
    <w:pPr>
      <w:keepNext/>
      <w:keepLines/>
      <w:numPr>
        <w:ilvl w:val="5"/>
        <w:numId w:val="1"/>
      </w:numPr>
      <w:spacing w:before="240" w:after="64" w:line="320" w:lineRule="auto"/>
      <w:outlineLvl w:val="5"/>
    </w:pPr>
    <w:rPr>
      <w:rFonts w:eastAsia="宋体"/>
      <w:b/>
      <w:bCs/>
      <w:sz w:val="24"/>
    </w:rPr>
  </w:style>
  <w:style w:type="paragraph" w:styleId="10">
    <w:name w:val="heading 7"/>
    <w:basedOn w:val="1"/>
    <w:next w:val="1"/>
    <w:unhideWhenUsed/>
    <w:qFormat/>
    <w:uiPriority w:val="9"/>
    <w:pPr>
      <w:keepNext/>
      <w:keepLines/>
      <w:numPr>
        <w:ilvl w:val="6"/>
        <w:numId w:val="1"/>
      </w:numPr>
      <w:spacing w:before="240" w:after="64" w:line="317" w:lineRule="auto"/>
      <w:outlineLvl w:val="6"/>
    </w:pPr>
    <w:rPr>
      <w:b/>
      <w:sz w:val="24"/>
    </w:rPr>
  </w:style>
  <w:style w:type="paragraph" w:styleId="11">
    <w:name w:val="heading 8"/>
    <w:basedOn w:val="1"/>
    <w:next w:val="1"/>
    <w:unhideWhenUsed/>
    <w:qFormat/>
    <w:uiPriority w:val="9"/>
    <w:pPr>
      <w:keepNext/>
      <w:keepLines/>
      <w:numPr>
        <w:ilvl w:val="7"/>
        <w:numId w:val="1"/>
      </w:numPr>
      <w:tabs>
        <w:tab w:val="left" w:pos="0"/>
      </w:tabs>
      <w:spacing w:before="240" w:after="64" w:line="317" w:lineRule="auto"/>
      <w:outlineLvl w:val="7"/>
    </w:pPr>
    <w:rPr>
      <w:rFonts w:ascii="Arial" w:hAnsi="Arial" w:eastAsia="黑体"/>
      <w:sz w:val="24"/>
    </w:rPr>
  </w:style>
  <w:style w:type="paragraph" w:styleId="12">
    <w:name w:val="heading 9"/>
    <w:basedOn w:val="1"/>
    <w:next w:val="1"/>
    <w:unhideWhenUsed/>
    <w:qFormat/>
    <w:uiPriority w:val="0"/>
    <w:pPr>
      <w:keepNext/>
      <w:keepLines/>
      <w:numPr>
        <w:ilvl w:val="8"/>
        <w:numId w:val="1"/>
      </w:numPr>
      <w:tabs>
        <w:tab w:val="left" w:pos="0"/>
      </w:tabs>
      <w:spacing w:before="240" w:after="64" w:line="317" w:lineRule="auto"/>
      <w:outlineLvl w:val="8"/>
    </w:pPr>
    <w:rPr>
      <w:rFonts w:ascii="Arial" w:hAnsi="Arial" w:eastAsia="黑体"/>
      <w:sz w:val="21"/>
    </w:rPr>
  </w:style>
  <w:style w:type="character" w:default="1" w:styleId="38">
    <w:name w:val="Default Paragraph Font"/>
    <w:semiHidden/>
    <w:unhideWhenUsed/>
    <w:uiPriority w:val="1"/>
  </w:style>
  <w:style w:type="table" w:default="1" w:styleId="36">
    <w:name w:val="Normal Table"/>
    <w:semiHidden/>
    <w:unhideWhenUsed/>
    <w:uiPriority w:val="99"/>
    <w:tblPr>
      <w:tblCellMar>
        <w:top w:w="0" w:type="dxa"/>
        <w:left w:w="108" w:type="dxa"/>
        <w:bottom w:w="0" w:type="dxa"/>
        <w:right w:w="108" w:type="dxa"/>
      </w:tblCellMar>
    </w:tblPr>
  </w:style>
  <w:style w:type="paragraph" w:customStyle="1" w:styleId="4">
    <w:name w:val="章节标题2"/>
    <w:basedOn w:val="1"/>
    <w:next w:val="5"/>
    <w:autoRedefine/>
    <w:qFormat/>
    <w:uiPriority w:val="0"/>
    <w:pPr>
      <w:keepNext/>
      <w:keepLines/>
      <w:widowControl/>
      <w:numPr>
        <w:ilvl w:val="1"/>
        <w:numId w:val="2"/>
      </w:numPr>
      <w:tabs>
        <w:tab w:val="left" w:pos="720"/>
      </w:tabs>
      <w:spacing w:before="260" w:after="260" w:line="413" w:lineRule="auto"/>
      <w:outlineLvl w:val="1"/>
    </w:pPr>
    <w:rPr>
      <w:rFonts w:ascii="宋体" w:hAnsi="宋体" w:cs="宋体"/>
      <w:b/>
      <w:bCs/>
      <w:szCs w:val="32"/>
    </w:rPr>
  </w:style>
  <w:style w:type="paragraph" w:customStyle="1" w:styleId="5">
    <w:name w:val="章节标题3"/>
    <w:basedOn w:val="1"/>
    <w:autoRedefine/>
    <w:qFormat/>
    <w:uiPriority w:val="0"/>
    <w:pPr>
      <w:keepNext/>
      <w:keepLines/>
      <w:widowControl/>
      <w:tabs>
        <w:tab w:val="left" w:pos="720"/>
      </w:tabs>
      <w:spacing w:before="260" w:after="260" w:line="413" w:lineRule="auto"/>
      <w:ind w:left="567" w:hanging="567"/>
      <w:outlineLvl w:val="2"/>
    </w:pPr>
    <w:rPr>
      <w:rFonts w:ascii="宋体" w:hAnsi="宋体" w:cs="宋体"/>
      <w:b/>
      <w:bCs/>
      <w:sz w:val="30"/>
      <w:szCs w:val="32"/>
    </w:rPr>
  </w:style>
  <w:style w:type="paragraph" w:styleId="13">
    <w:name w:val="toc 7"/>
    <w:basedOn w:val="1"/>
    <w:next w:val="1"/>
    <w:autoRedefine/>
    <w:unhideWhenUsed/>
    <w:qFormat/>
    <w:uiPriority w:val="39"/>
    <w:pPr>
      <w:ind w:left="2520" w:leftChars="1200"/>
    </w:pPr>
    <w:rPr>
      <w:rFonts w:eastAsiaTheme="minorEastAsia"/>
      <w:sz w:val="21"/>
      <w:szCs w:val="22"/>
      <w14:ligatures w14:val="standardContextual"/>
    </w:rPr>
  </w:style>
  <w:style w:type="paragraph" w:styleId="14">
    <w:name w:val="caption"/>
    <w:basedOn w:val="1"/>
    <w:next w:val="1"/>
    <w:link w:val="62"/>
    <w:unhideWhenUsed/>
    <w:qFormat/>
    <w:uiPriority w:val="0"/>
    <w:pPr>
      <w:numPr>
        <w:ilvl w:val="0"/>
        <w:numId w:val="3"/>
      </w:numPr>
      <w:ind w:left="0" w:firstLine="0"/>
      <w:jc w:val="center"/>
    </w:pPr>
    <w:rPr>
      <w:sz w:val="21"/>
    </w:rPr>
  </w:style>
  <w:style w:type="paragraph" w:styleId="15">
    <w:name w:val="Salutation"/>
    <w:basedOn w:val="1"/>
    <w:next w:val="1"/>
    <w:qFormat/>
    <w:uiPriority w:val="0"/>
    <w:rPr>
      <w:rFonts w:ascii="Times New Roman" w:hAnsi="Times New Roman" w:eastAsia="宋体" w:cs="Times New Roman"/>
      <w:sz w:val="24"/>
    </w:rPr>
  </w:style>
  <w:style w:type="paragraph" w:styleId="16">
    <w:name w:val="Body Text"/>
    <w:basedOn w:val="1"/>
    <w:link w:val="60"/>
    <w:qFormat/>
    <w:uiPriority w:val="0"/>
    <w:pPr>
      <w:spacing w:line="360" w:lineRule="auto"/>
    </w:pPr>
    <w:rPr>
      <w:rFonts w:ascii="宋体" w:hAnsi="宋体"/>
    </w:rPr>
  </w:style>
  <w:style w:type="paragraph" w:styleId="17">
    <w:name w:val="Body Text Indent"/>
    <w:basedOn w:val="1"/>
    <w:qFormat/>
    <w:uiPriority w:val="99"/>
    <w:pPr>
      <w:spacing w:after="120"/>
      <w:ind w:left="420" w:leftChars="200" w:firstLine="200"/>
    </w:pPr>
    <w:rPr>
      <w:rFonts w:eastAsia="等线"/>
      <w:lang w:val="zh-CN"/>
    </w:rPr>
  </w:style>
  <w:style w:type="paragraph" w:styleId="18">
    <w:name w:val="toc 5"/>
    <w:basedOn w:val="1"/>
    <w:next w:val="1"/>
    <w:autoRedefine/>
    <w:unhideWhenUsed/>
    <w:qFormat/>
    <w:uiPriority w:val="39"/>
    <w:pPr>
      <w:ind w:left="1680" w:leftChars="800"/>
    </w:pPr>
    <w:rPr>
      <w:rFonts w:eastAsiaTheme="minorEastAsia"/>
      <w:sz w:val="21"/>
      <w:szCs w:val="22"/>
      <w14:ligatures w14:val="standardContextual"/>
    </w:rPr>
  </w:style>
  <w:style w:type="paragraph" w:styleId="19">
    <w:name w:val="toc 3"/>
    <w:basedOn w:val="1"/>
    <w:next w:val="1"/>
    <w:qFormat/>
    <w:uiPriority w:val="39"/>
    <w:pPr>
      <w:ind w:left="840" w:leftChars="400"/>
    </w:pPr>
    <w:rPr>
      <w:rFonts w:ascii="宋体" w:hAnsi="宋体" w:eastAsia="宋体" w:cs="宋体"/>
      <w:sz w:val="18"/>
      <w:szCs w:val="18"/>
    </w:rPr>
  </w:style>
  <w:style w:type="paragraph" w:styleId="20">
    <w:name w:val="toc 8"/>
    <w:basedOn w:val="1"/>
    <w:next w:val="1"/>
    <w:autoRedefine/>
    <w:unhideWhenUsed/>
    <w:qFormat/>
    <w:uiPriority w:val="39"/>
    <w:pPr>
      <w:ind w:left="2940" w:leftChars="1400"/>
    </w:pPr>
    <w:rPr>
      <w:rFonts w:eastAsiaTheme="minorEastAsia"/>
      <w:sz w:val="21"/>
      <w:szCs w:val="22"/>
      <w14:ligatures w14:val="standardContextual"/>
    </w:rPr>
  </w:style>
  <w:style w:type="paragraph" w:styleId="21">
    <w:name w:val="Date"/>
    <w:basedOn w:val="1"/>
    <w:next w:val="1"/>
    <w:link w:val="52"/>
    <w:qFormat/>
    <w:uiPriority w:val="0"/>
    <w:pPr>
      <w:ind w:left="100" w:leftChars="2500"/>
    </w:pPr>
  </w:style>
  <w:style w:type="paragraph" w:styleId="22">
    <w:name w:val="Body Text Indent 2"/>
    <w:basedOn w:val="1"/>
    <w:link w:val="55"/>
    <w:qFormat/>
    <w:uiPriority w:val="0"/>
    <w:pPr>
      <w:spacing w:after="120" w:line="480" w:lineRule="auto"/>
      <w:ind w:left="420" w:leftChars="200"/>
    </w:pPr>
  </w:style>
  <w:style w:type="paragraph" w:styleId="23">
    <w:name w:val="footer"/>
    <w:basedOn w:val="1"/>
    <w:link w:val="50"/>
    <w:unhideWhenUsed/>
    <w:qFormat/>
    <w:uiPriority w:val="99"/>
    <w:pPr>
      <w:tabs>
        <w:tab w:val="center" w:pos="4153"/>
        <w:tab w:val="right" w:pos="8306"/>
      </w:tabs>
      <w:snapToGrid w:val="0"/>
      <w:jc w:val="left"/>
    </w:pPr>
    <w:rPr>
      <w:sz w:val="18"/>
      <w:szCs w:val="18"/>
    </w:rPr>
  </w:style>
  <w:style w:type="paragraph" w:styleId="24">
    <w:name w:val="header"/>
    <w:basedOn w:val="1"/>
    <w:link w:val="54"/>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25">
    <w:name w:val="toc 1"/>
    <w:basedOn w:val="1"/>
    <w:next w:val="1"/>
    <w:qFormat/>
    <w:uiPriority w:val="39"/>
    <w:rPr>
      <w:rFonts w:ascii="宋体" w:hAnsi="宋体" w:eastAsia="宋体" w:cs="宋体"/>
      <w:b/>
      <w:sz w:val="24"/>
    </w:rPr>
  </w:style>
  <w:style w:type="paragraph" w:styleId="26">
    <w:name w:val="toc 4"/>
    <w:basedOn w:val="1"/>
    <w:next w:val="1"/>
    <w:autoRedefine/>
    <w:unhideWhenUsed/>
    <w:qFormat/>
    <w:uiPriority w:val="39"/>
    <w:pPr>
      <w:ind w:left="1260" w:leftChars="600"/>
    </w:pPr>
    <w:rPr>
      <w:rFonts w:eastAsiaTheme="minorEastAsia"/>
      <w:sz w:val="21"/>
      <w:szCs w:val="22"/>
      <w14:ligatures w14:val="standardContextual"/>
    </w:rPr>
  </w:style>
  <w:style w:type="paragraph" w:styleId="27">
    <w:name w:val="List"/>
    <w:basedOn w:val="1"/>
    <w:qFormat/>
    <w:uiPriority w:val="0"/>
    <w:pPr>
      <w:ind w:left="200" w:hanging="200" w:hangingChars="200"/>
      <w:contextualSpacing/>
    </w:pPr>
  </w:style>
  <w:style w:type="paragraph" w:styleId="28">
    <w:name w:val="footnote text"/>
    <w:basedOn w:val="1"/>
    <w:qFormat/>
    <w:uiPriority w:val="0"/>
    <w:pPr>
      <w:snapToGrid w:val="0"/>
      <w:jc w:val="left"/>
    </w:pPr>
    <w:rPr>
      <w:sz w:val="18"/>
      <w:szCs w:val="18"/>
    </w:rPr>
  </w:style>
  <w:style w:type="paragraph" w:styleId="29">
    <w:name w:val="toc 6"/>
    <w:basedOn w:val="1"/>
    <w:next w:val="1"/>
    <w:autoRedefine/>
    <w:unhideWhenUsed/>
    <w:qFormat/>
    <w:uiPriority w:val="39"/>
    <w:pPr>
      <w:ind w:left="2100" w:leftChars="1000"/>
    </w:pPr>
    <w:rPr>
      <w:rFonts w:eastAsiaTheme="minorEastAsia"/>
      <w:sz w:val="21"/>
      <w:szCs w:val="22"/>
      <w14:ligatures w14:val="standardContextual"/>
    </w:rPr>
  </w:style>
  <w:style w:type="paragraph" w:styleId="30">
    <w:name w:val="toc 2"/>
    <w:basedOn w:val="1"/>
    <w:next w:val="1"/>
    <w:autoRedefine/>
    <w:qFormat/>
    <w:uiPriority w:val="39"/>
    <w:pPr>
      <w:ind w:left="420" w:leftChars="200"/>
    </w:pPr>
    <w:rPr>
      <w:rFonts w:ascii="宋体" w:hAnsi="宋体" w:eastAsia="宋体" w:cs="宋体"/>
      <w:sz w:val="21"/>
      <w:szCs w:val="21"/>
    </w:rPr>
  </w:style>
  <w:style w:type="paragraph" w:styleId="31">
    <w:name w:val="toc 9"/>
    <w:basedOn w:val="1"/>
    <w:next w:val="1"/>
    <w:autoRedefine/>
    <w:unhideWhenUsed/>
    <w:qFormat/>
    <w:uiPriority w:val="39"/>
    <w:pPr>
      <w:ind w:left="3360" w:leftChars="1600"/>
    </w:pPr>
    <w:rPr>
      <w:rFonts w:eastAsiaTheme="minorEastAsia"/>
      <w:sz w:val="21"/>
      <w:szCs w:val="22"/>
      <w14:ligatures w14:val="standardContextual"/>
    </w:rPr>
  </w:style>
  <w:style w:type="paragraph" w:styleId="32">
    <w:name w:val="Normal (Web)"/>
    <w:basedOn w:val="1"/>
    <w:unhideWhenUsed/>
    <w:qFormat/>
    <w:uiPriority w:val="99"/>
    <w:pPr>
      <w:widowControl/>
      <w:spacing w:before="100" w:beforeAutospacing="1" w:after="100" w:afterAutospacing="1"/>
      <w:jc w:val="left"/>
    </w:pPr>
    <w:rPr>
      <w:rFonts w:ascii="宋体" w:hAnsi="宋体" w:cs="宋体"/>
      <w:kern w:val="0"/>
    </w:rPr>
  </w:style>
  <w:style w:type="paragraph" w:styleId="33">
    <w:name w:val="index 1"/>
    <w:basedOn w:val="1"/>
    <w:next w:val="1"/>
    <w:qFormat/>
    <w:uiPriority w:val="0"/>
    <w:pPr>
      <w:spacing w:line="360" w:lineRule="auto"/>
    </w:pPr>
    <w:rPr>
      <w:rFonts w:ascii="Times New Roman" w:hAnsi="Times New Roman" w:eastAsia="宋体" w:cs="Times New Roman"/>
      <w:sz w:val="24"/>
    </w:rPr>
  </w:style>
  <w:style w:type="paragraph" w:styleId="34">
    <w:name w:val="Body Text First Indent"/>
    <w:basedOn w:val="16"/>
    <w:link w:val="61"/>
    <w:qFormat/>
    <w:uiPriority w:val="0"/>
    <w:pPr>
      <w:spacing w:after="120" w:line="240" w:lineRule="auto"/>
      <w:ind w:firstLine="420" w:firstLineChars="100"/>
    </w:pPr>
    <w:rPr>
      <w:rFonts w:asciiTheme="minorHAnsi" w:hAnsiTheme="minorHAnsi"/>
    </w:rPr>
  </w:style>
  <w:style w:type="paragraph" w:styleId="35">
    <w:name w:val="Body Text First Indent 2"/>
    <w:basedOn w:val="17"/>
    <w:qFormat/>
    <w:uiPriority w:val="99"/>
    <w:pPr>
      <w:ind w:left="0" w:leftChars="0" w:firstLine="420"/>
    </w:pPr>
    <w:rPr>
      <w:rFonts w:ascii="Calibri" w:hAnsi="Calibri" w:eastAsia="宋体"/>
      <w:sz w:val="20"/>
      <w:szCs w:val="20"/>
    </w:rPr>
  </w:style>
  <w:style w:type="table" w:styleId="37">
    <w:name w:val="Table Grid"/>
    <w:basedOn w:val="36"/>
    <w:qFormat/>
    <w:uiPriority w:val="59"/>
    <w:rPr>
      <w:rFonts w:asciiTheme="minorHAnsi" w:hAnsiTheme="minorHAnsi" w:eastAsiaTheme="minorEastAsia" w:cstheme="minorBid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9">
    <w:name w:val="page number"/>
    <w:qFormat/>
    <w:uiPriority w:val="0"/>
  </w:style>
  <w:style w:type="character" w:styleId="40">
    <w:name w:val="Hyperlink"/>
    <w:basedOn w:val="38"/>
    <w:unhideWhenUsed/>
    <w:qFormat/>
    <w:uiPriority w:val="99"/>
    <w:rPr>
      <w:color w:val="0563C1" w:themeColor="hyperlink"/>
      <w:u w:val="single"/>
      <w14:textFill>
        <w14:solidFill>
          <w14:schemeClr w14:val="hlink"/>
        </w14:solidFill>
      </w14:textFill>
    </w:rPr>
  </w:style>
  <w:style w:type="character" w:customStyle="1" w:styleId="41">
    <w:name w:val="正文标准 Char"/>
    <w:link w:val="42"/>
    <w:qFormat/>
    <w:uiPriority w:val="0"/>
    <w:rPr>
      <w:rFonts w:ascii="宋体" w:hAnsi="宋体"/>
      <w:sz w:val="24"/>
    </w:rPr>
  </w:style>
  <w:style w:type="paragraph" w:customStyle="1" w:styleId="42">
    <w:name w:val="正文标准"/>
    <w:basedOn w:val="1"/>
    <w:link w:val="41"/>
    <w:qFormat/>
    <w:uiPriority w:val="0"/>
    <w:pPr>
      <w:spacing w:line="360" w:lineRule="auto"/>
      <w:ind w:firstLine="200" w:firstLineChars="200"/>
    </w:pPr>
    <w:rPr>
      <w:rFonts w:ascii="宋体" w:hAnsi="宋体"/>
      <w:sz w:val="24"/>
    </w:rPr>
  </w:style>
  <w:style w:type="paragraph" w:customStyle="1" w:styleId="43">
    <w:name w:val="样式 首行缩进:  0 字符"/>
    <w:basedOn w:val="1"/>
    <w:qFormat/>
    <w:uiPriority w:val="0"/>
  </w:style>
  <w:style w:type="paragraph" w:styleId="44">
    <w:name w:val="List Paragraph"/>
    <w:basedOn w:val="1"/>
    <w:link w:val="48"/>
    <w:qFormat/>
    <w:uiPriority w:val="34"/>
    <w:pPr>
      <w:spacing w:line="580" w:lineRule="exact"/>
      <w:ind w:firstLine="420" w:firstLineChars="200"/>
    </w:pPr>
    <w:rPr>
      <w:rFonts w:ascii="Times New Roman" w:hAnsi="Times New Roman" w:eastAsia="仿宋_GB2312" w:cs="Times New Roman"/>
    </w:rPr>
  </w:style>
  <w:style w:type="paragraph" w:customStyle="1" w:styleId="45">
    <w:name w:val="*正文"/>
    <w:basedOn w:val="1"/>
    <w:qFormat/>
    <w:uiPriority w:val="0"/>
    <w:pPr>
      <w:widowControl/>
      <w:jc w:val="left"/>
    </w:pPr>
    <w:rPr>
      <w:rFonts w:ascii="仿宋_GB2312"/>
      <w:szCs w:val="28"/>
    </w:rPr>
  </w:style>
  <w:style w:type="paragraph" w:customStyle="1" w:styleId="46">
    <w:name w:val="Table Paragraph"/>
    <w:basedOn w:val="1"/>
    <w:qFormat/>
    <w:uiPriority w:val="1"/>
    <w:pPr>
      <w:spacing w:before="3"/>
      <w:ind w:left="108"/>
    </w:pPr>
    <w:rPr>
      <w:rFonts w:ascii="宋体" w:hAnsi="宋体" w:eastAsia="宋体" w:cs="宋体"/>
    </w:rPr>
  </w:style>
  <w:style w:type="character" w:customStyle="1" w:styleId="47">
    <w:name w:val="标题 5 字符"/>
    <w:link w:val="8"/>
    <w:qFormat/>
    <w:uiPriority w:val="9"/>
    <w:rPr>
      <w:rFonts w:eastAsia="仿宋" w:asciiTheme="minorHAnsi" w:hAnsiTheme="minorHAnsi" w:cstheme="minorBidi"/>
      <w:b/>
      <w:kern w:val="2"/>
      <w:sz w:val="28"/>
      <w:szCs w:val="24"/>
    </w:rPr>
  </w:style>
  <w:style w:type="character" w:customStyle="1" w:styleId="48">
    <w:name w:val="列表段落 字符"/>
    <w:link w:val="44"/>
    <w:qFormat/>
    <w:uiPriority w:val="34"/>
    <w:rPr>
      <w:rFonts w:eastAsia="仿宋_GB2312"/>
      <w:kern w:val="2"/>
      <w:sz w:val="28"/>
      <w:szCs w:val="24"/>
    </w:rPr>
  </w:style>
  <w:style w:type="paragraph" w:customStyle="1" w:styleId="49">
    <w:name w:val="四级标题"/>
    <w:basedOn w:val="12"/>
    <w:qFormat/>
    <w:uiPriority w:val="0"/>
    <w:pPr>
      <w:numPr>
        <w:ilvl w:val="0"/>
        <w:numId w:val="0"/>
      </w:numPr>
      <w:tabs>
        <w:tab w:val="left" w:pos="1559"/>
      </w:tabs>
      <w:spacing w:before="260" w:after="260" w:line="360" w:lineRule="auto"/>
      <w:ind w:left="1712" w:hanging="1712"/>
      <w:outlineLvl w:val="3"/>
    </w:pPr>
    <w:rPr>
      <w:rFonts w:ascii="宋体" w:hAnsi="Calibri" w:eastAsia="宋体" w:cs="Times New Roman"/>
      <w:b/>
      <w:bCs/>
      <w:sz w:val="30"/>
      <w:szCs w:val="30"/>
      <w:lang w:val="zh-CN"/>
    </w:rPr>
  </w:style>
  <w:style w:type="character" w:customStyle="1" w:styleId="50">
    <w:name w:val="页脚 字符"/>
    <w:basedOn w:val="38"/>
    <w:link w:val="23"/>
    <w:qFormat/>
    <w:uiPriority w:val="99"/>
    <w:rPr>
      <w:rFonts w:eastAsia="仿宋" w:asciiTheme="minorHAnsi" w:hAnsiTheme="minorHAnsi" w:cstheme="minorBidi"/>
      <w:kern w:val="2"/>
      <w:sz w:val="18"/>
      <w:szCs w:val="18"/>
    </w:rPr>
  </w:style>
  <w:style w:type="paragraph" w:customStyle="1" w:styleId="51">
    <w:name w:val="TOC 标题1"/>
    <w:basedOn w:val="2"/>
    <w:next w:val="1"/>
    <w:unhideWhenUsed/>
    <w:qFormat/>
    <w:uiPriority w:val="39"/>
    <w:pPr>
      <w:widowControl/>
      <w:numPr>
        <w:numId w:val="0"/>
      </w:numPr>
      <w:tabs>
        <w:tab w:val="clear" w:pos="0"/>
      </w:tabs>
      <w:spacing w:before="240" w:after="0" w:line="259" w:lineRule="auto"/>
      <w:jc w:val="left"/>
      <w:outlineLvl w:val="9"/>
    </w:pPr>
    <w:rPr>
      <w:rFonts w:asciiTheme="majorHAnsi" w:hAnsiTheme="majorHAnsi" w:cstheme="majorBidi"/>
      <w:b w:val="0"/>
      <w:color w:val="2E75B6" w:themeColor="accent1" w:themeShade="BF"/>
      <w:kern w:val="0"/>
      <w:szCs w:val="32"/>
    </w:rPr>
  </w:style>
  <w:style w:type="character" w:customStyle="1" w:styleId="52">
    <w:name w:val="日期 字符"/>
    <w:basedOn w:val="38"/>
    <w:link w:val="21"/>
    <w:qFormat/>
    <w:uiPriority w:val="0"/>
    <w:rPr>
      <w:rFonts w:eastAsia="仿宋" w:asciiTheme="minorHAnsi" w:hAnsiTheme="minorHAnsi" w:cstheme="minorBidi"/>
      <w:kern w:val="2"/>
      <w:sz w:val="28"/>
      <w:szCs w:val="24"/>
    </w:rPr>
  </w:style>
  <w:style w:type="paragraph" w:customStyle="1" w:styleId="53">
    <w:name w:val="TOC 标题2"/>
    <w:basedOn w:val="2"/>
    <w:next w:val="1"/>
    <w:unhideWhenUsed/>
    <w:qFormat/>
    <w:uiPriority w:val="39"/>
    <w:pPr>
      <w:widowControl/>
      <w:numPr>
        <w:numId w:val="0"/>
      </w:numPr>
      <w:tabs>
        <w:tab w:val="clear" w:pos="0"/>
      </w:tabs>
      <w:spacing w:before="240" w:after="0" w:line="259" w:lineRule="auto"/>
      <w:jc w:val="left"/>
      <w:outlineLvl w:val="9"/>
    </w:pPr>
    <w:rPr>
      <w:rFonts w:asciiTheme="majorHAnsi" w:hAnsiTheme="majorHAnsi" w:cstheme="majorBidi"/>
      <w:b w:val="0"/>
      <w:color w:val="2E75B6" w:themeColor="accent1" w:themeShade="BF"/>
      <w:kern w:val="0"/>
      <w:szCs w:val="32"/>
    </w:rPr>
  </w:style>
  <w:style w:type="character" w:customStyle="1" w:styleId="54">
    <w:name w:val="页眉 字符"/>
    <w:basedOn w:val="38"/>
    <w:link w:val="24"/>
    <w:qFormat/>
    <w:uiPriority w:val="99"/>
    <w:rPr>
      <w:rFonts w:eastAsia="仿宋" w:asciiTheme="minorHAnsi" w:hAnsiTheme="minorHAnsi" w:cstheme="minorBidi"/>
      <w:kern w:val="2"/>
      <w:sz w:val="18"/>
      <w:szCs w:val="24"/>
    </w:rPr>
  </w:style>
  <w:style w:type="character" w:customStyle="1" w:styleId="55">
    <w:name w:val="正文文本缩进 2 字符"/>
    <w:basedOn w:val="38"/>
    <w:link w:val="22"/>
    <w:qFormat/>
    <w:uiPriority w:val="0"/>
    <w:rPr>
      <w:rFonts w:eastAsia="仿宋" w:asciiTheme="minorHAnsi" w:hAnsiTheme="minorHAnsi" w:cstheme="minorBidi"/>
      <w:kern w:val="2"/>
      <w:sz w:val="28"/>
      <w:szCs w:val="24"/>
    </w:rPr>
  </w:style>
  <w:style w:type="character" w:customStyle="1" w:styleId="56">
    <w:name w:val="my正文 Char"/>
    <w:link w:val="57"/>
    <w:autoRedefine/>
    <w:qFormat/>
    <w:uiPriority w:val="0"/>
    <w:rPr>
      <w:spacing w:val="-2"/>
      <w:kern w:val="2"/>
      <w:sz w:val="24"/>
      <w:szCs w:val="21"/>
      <w14:ligatures w14:val="standardContextual"/>
    </w:rPr>
  </w:style>
  <w:style w:type="paragraph" w:customStyle="1" w:styleId="57">
    <w:name w:val="my正文"/>
    <w:basedOn w:val="1"/>
    <w:link w:val="56"/>
    <w:autoRedefine/>
    <w:qFormat/>
    <w:uiPriority w:val="0"/>
    <w:pPr>
      <w:spacing w:line="360" w:lineRule="auto"/>
      <w:ind w:firstLine="472" w:firstLineChars="200"/>
    </w:pPr>
    <w:rPr>
      <w:rFonts w:ascii="Times New Roman" w:hAnsi="Times New Roman" w:eastAsia="宋体" w:cs="Times New Roman"/>
      <w:spacing w:val="-2"/>
      <w:sz w:val="24"/>
      <w:szCs w:val="21"/>
      <w14:ligatures w14:val="standardContextual"/>
    </w:rPr>
  </w:style>
  <w:style w:type="paragraph" w:customStyle="1" w:styleId="58">
    <w:name w:val="列表段落1"/>
    <w:basedOn w:val="1"/>
    <w:autoRedefine/>
    <w:qFormat/>
    <w:uiPriority w:val="34"/>
    <w:pPr>
      <w:ind w:firstLine="420"/>
    </w:pPr>
    <w:rPr>
      <w:rFonts w:ascii="Calibri" w:hAnsi="Calibri" w:eastAsia="宋体" w:cs="Times New Roman"/>
      <w:spacing w:val="-2"/>
      <w:sz w:val="21"/>
      <w:szCs w:val="21"/>
      <w14:ligatures w14:val="standardContextual"/>
    </w:rPr>
  </w:style>
  <w:style w:type="paragraph" w:customStyle="1" w:styleId="59">
    <w:name w:val="样式 正文首行缩进 + 首行缩进:  2 字符"/>
    <w:basedOn w:val="34"/>
    <w:qFormat/>
    <w:uiPriority w:val="0"/>
    <w:pPr>
      <w:spacing w:after="0" w:line="360" w:lineRule="auto"/>
      <w:ind w:firstLine="200" w:firstLineChars="200"/>
    </w:pPr>
    <w:rPr>
      <w:rFonts w:ascii="宋体" w:hAnsi="宋体" w:eastAsia="宋体" w:cs="宋体"/>
      <w:spacing w:val="-2"/>
      <w:sz w:val="21"/>
      <w:szCs w:val="20"/>
      <w14:ligatures w14:val="standardContextual"/>
    </w:rPr>
  </w:style>
  <w:style w:type="character" w:customStyle="1" w:styleId="60">
    <w:name w:val="正文文本 字符"/>
    <w:basedOn w:val="38"/>
    <w:link w:val="16"/>
    <w:qFormat/>
    <w:uiPriority w:val="0"/>
    <w:rPr>
      <w:rFonts w:ascii="宋体" w:hAnsi="宋体" w:eastAsia="仿宋" w:cstheme="minorBidi"/>
      <w:kern w:val="2"/>
      <w:sz w:val="28"/>
      <w:szCs w:val="24"/>
    </w:rPr>
  </w:style>
  <w:style w:type="character" w:customStyle="1" w:styleId="61">
    <w:name w:val="正文文本首行缩进 字符"/>
    <w:basedOn w:val="60"/>
    <w:link w:val="34"/>
    <w:qFormat/>
    <w:uiPriority w:val="0"/>
    <w:rPr>
      <w:rFonts w:eastAsia="仿宋" w:asciiTheme="minorHAnsi" w:hAnsiTheme="minorHAnsi" w:cstheme="minorBidi"/>
      <w:kern w:val="2"/>
      <w:sz w:val="28"/>
      <w:szCs w:val="24"/>
    </w:rPr>
  </w:style>
  <w:style w:type="character" w:customStyle="1" w:styleId="62">
    <w:name w:val="题注 字符"/>
    <w:link w:val="14"/>
    <w:autoRedefine/>
    <w:qFormat/>
    <w:uiPriority w:val="0"/>
    <w:rPr>
      <w:rFonts w:eastAsia="仿宋" w:asciiTheme="minorHAnsi" w:hAnsiTheme="minorHAnsi" w:cstheme="minorBidi"/>
      <w:kern w:val="2"/>
      <w:sz w:val="21"/>
      <w:szCs w:val="24"/>
    </w:rPr>
  </w:style>
  <w:style w:type="paragraph" w:customStyle="1" w:styleId="63">
    <w:name w:val="可研正文"/>
    <w:basedOn w:val="1"/>
    <w:link w:val="64"/>
    <w:autoRedefine/>
    <w:qFormat/>
    <w:uiPriority w:val="0"/>
    <w:pPr>
      <w:spacing w:line="360" w:lineRule="auto"/>
      <w:jc w:val="center"/>
    </w:pPr>
    <w:rPr>
      <w:rFonts w:ascii="黑体" w:hAnsi="黑体" w:eastAsia="黑体" w:cs="Times New Roman"/>
      <w:b/>
      <w:bCs/>
      <w:sz w:val="72"/>
      <w:szCs w:val="72"/>
      <w:lang w:val="zh-CN"/>
    </w:rPr>
  </w:style>
  <w:style w:type="character" w:customStyle="1" w:styleId="64">
    <w:name w:val="可研正文 Char"/>
    <w:link w:val="63"/>
    <w:autoRedefine/>
    <w:qFormat/>
    <w:uiPriority w:val="0"/>
    <w:rPr>
      <w:rFonts w:ascii="黑体" w:hAnsi="黑体" w:eastAsia="黑体"/>
      <w:b/>
      <w:bCs/>
      <w:kern w:val="2"/>
      <w:sz w:val="72"/>
      <w:szCs w:val="72"/>
      <w:lang w:val="zh-CN"/>
    </w:rPr>
  </w:style>
  <w:style w:type="paragraph" w:customStyle="1" w:styleId="65">
    <w:name w:val="列表带编号"/>
    <w:basedOn w:val="27"/>
    <w:link w:val="66"/>
    <w:qFormat/>
    <w:uiPriority w:val="0"/>
    <w:pPr>
      <w:widowControl/>
      <w:numPr>
        <w:ilvl w:val="0"/>
        <w:numId w:val="4"/>
      </w:numPr>
      <w:spacing w:line="360" w:lineRule="auto"/>
      <w:ind w:firstLine="0" w:firstLineChars="0"/>
      <w:jc w:val="left"/>
    </w:pPr>
    <w:rPr>
      <w:rFonts w:ascii="Times New Roman" w:hAnsi="宋体" w:eastAsia="宋体" w:cs="Times New Roman"/>
      <w:kern w:val="0"/>
      <w:sz w:val="22"/>
      <w:szCs w:val="21"/>
    </w:rPr>
  </w:style>
  <w:style w:type="character" w:customStyle="1" w:styleId="66">
    <w:name w:val="列表带编号 字符"/>
    <w:basedOn w:val="38"/>
    <w:link w:val="65"/>
    <w:qFormat/>
    <w:uiPriority w:val="0"/>
    <w:rPr>
      <w:rFonts w:hAnsi="宋体"/>
      <w:sz w:val="22"/>
      <w:szCs w:val="21"/>
    </w:rPr>
  </w:style>
  <w:style w:type="character" w:customStyle="1" w:styleId="67">
    <w:name w:val="未处理的提及1"/>
    <w:basedOn w:val="38"/>
    <w:semiHidden/>
    <w:unhideWhenUsed/>
    <w:qFormat/>
    <w:uiPriority w:val="99"/>
    <w:rPr>
      <w:color w:val="605E5C"/>
      <w:shd w:val="clear" w:color="auto" w:fill="E1DFDD"/>
    </w:rPr>
  </w:style>
  <w:style w:type="character" w:customStyle="1" w:styleId="68">
    <w:name w:val="未处理的提及2"/>
    <w:basedOn w:val="38"/>
    <w:semiHidden/>
    <w:unhideWhenUsed/>
    <w:qFormat/>
    <w:uiPriority w:val="99"/>
    <w:rPr>
      <w:color w:val="605E5C"/>
      <w:shd w:val="clear" w:color="auto" w:fill="E1DFDD"/>
    </w:rPr>
  </w:style>
  <w:style w:type="character" w:customStyle="1" w:styleId="69">
    <w:name w:val="未处理的提及3"/>
    <w:basedOn w:val="38"/>
    <w:semiHidden/>
    <w:unhideWhenUsed/>
    <w:qFormat/>
    <w:uiPriority w:val="99"/>
    <w:rPr>
      <w:color w:val="605E5C"/>
      <w:shd w:val="clear" w:color="auto" w:fill="E1DFDD"/>
    </w:rPr>
  </w:style>
  <w:style w:type="character" w:customStyle="1" w:styleId="70">
    <w:name w:val="未处理的提及4"/>
    <w:basedOn w:val="38"/>
    <w:semiHidden/>
    <w:unhideWhenUsed/>
    <w:qFormat/>
    <w:uiPriority w:val="99"/>
    <w:rPr>
      <w:color w:val="605E5C"/>
      <w:shd w:val="clear" w:color="auto" w:fill="E1DFDD"/>
    </w:rPr>
  </w:style>
  <w:style w:type="paragraph" w:styleId="71">
    <w:name w:val="No Spacing"/>
    <w:qFormat/>
    <w:uiPriority w:val="1"/>
    <w:pPr>
      <w:widowControl w:val="0"/>
      <w:jc w:val="both"/>
    </w:pPr>
    <w:rPr>
      <w:rFonts w:asciiTheme="minorHAnsi" w:hAnsiTheme="minorHAnsi" w:eastAsiaTheme="minorEastAsia" w:cstheme="minorBidi"/>
      <w:kern w:val="2"/>
      <w:sz w:val="21"/>
      <w:szCs w:val="22"/>
      <w:lang w:val="en-US" w:eastAsia="zh-CN" w:bidi="ar-SA"/>
    </w:rPr>
  </w:style>
  <w:style w:type="character" w:customStyle="1" w:styleId="72">
    <w:name w:val="未处理的提及5"/>
    <w:basedOn w:val="38"/>
    <w:semiHidden/>
    <w:unhideWhenUsed/>
    <w:qFormat/>
    <w:uiPriority w:val="99"/>
    <w:rPr>
      <w:color w:val="605E5C"/>
      <w:shd w:val="clear" w:color="auto" w:fill="E1DFDD"/>
    </w:rPr>
  </w:style>
  <w:style w:type="character" w:customStyle="1" w:styleId="73">
    <w:name w:val="Unresolved Mention"/>
    <w:basedOn w:val="38"/>
    <w:semiHidden/>
    <w:unhideWhenUsed/>
    <w:qFormat/>
    <w:uiPriority w:val="99"/>
    <w:rPr>
      <w:color w:val="605E5C"/>
      <w:shd w:val="clear" w:color="auto" w:fill="E1DFDD"/>
    </w:rPr>
  </w:style>
  <w:style w:type="paragraph" w:customStyle="1" w:styleId="74">
    <w:name w:val="正文1"/>
    <w:basedOn w:val="1"/>
    <w:autoRedefine/>
    <w:qFormat/>
    <w:uiPriority w:val="0"/>
    <w:pPr>
      <w:numPr>
        <w:ilvl w:val="0"/>
        <w:numId w:val="5"/>
      </w:numPr>
    </w:pPr>
    <w:rPr>
      <w:rFonts w:ascii="宋体" w:hAnsi="宋体" w:eastAsia="宋体" w:cs="宋体"/>
      <w:sz w:val="21"/>
      <w:szCs w:val="21"/>
    </w:rPr>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footer" Target="footer4.xml"/><Relationship Id="rId7" Type="http://schemas.openxmlformats.org/officeDocument/2006/relationships/footer" Target="footer3.xml"/><Relationship Id="rId68" Type="http://schemas.openxmlformats.org/officeDocument/2006/relationships/fontTable" Target="fontTable.xml"/><Relationship Id="rId67" Type="http://schemas.openxmlformats.org/officeDocument/2006/relationships/customXml" Target="../customXml/item2.xml"/><Relationship Id="rId66" Type="http://schemas.openxmlformats.org/officeDocument/2006/relationships/numbering" Target="numbering.xml"/><Relationship Id="rId65" Type="http://schemas.openxmlformats.org/officeDocument/2006/relationships/customXml" Target="../customXml/item1.xml"/><Relationship Id="rId64" Type="http://schemas.openxmlformats.org/officeDocument/2006/relationships/image" Target="media/image54.png"/><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header" Target="header2.xml"/><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footer" Target="footer2.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jpeg"/><Relationship Id="rId41" Type="http://schemas.openxmlformats.org/officeDocument/2006/relationships/image" Target="media/image31.jpeg"/><Relationship Id="rId40" Type="http://schemas.openxmlformats.org/officeDocument/2006/relationships/image" Target="media/image30.jpeg"/><Relationship Id="rId4" Type="http://schemas.openxmlformats.org/officeDocument/2006/relationships/header" Target="header1.xml"/><Relationship Id="rId39" Type="http://schemas.openxmlformats.org/officeDocument/2006/relationships/image" Target="media/image29.jpeg"/><Relationship Id="rId38" Type="http://schemas.openxmlformats.org/officeDocument/2006/relationships/image" Target="media/image28.jpeg"/><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jpeg"/><Relationship Id="rId34" Type="http://schemas.openxmlformats.org/officeDocument/2006/relationships/image" Target="media/image24.jpeg"/><Relationship Id="rId33" Type="http://schemas.openxmlformats.org/officeDocument/2006/relationships/image" Target="media/image23.jpeg"/><Relationship Id="rId32" Type="http://schemas.openxmlformats.org/officeDocument/2006/relationships/image" Target="media/image22.jpeg"/><Relationship Id="rId31" Type="http://schemas.openxmlformats.org/officeDocument/2006/relationships/image" Target="media/image21.jpeg"/><Relationship Id="rId30" Type="http://schemas.openxmlformats.org/officeDocument/2006/relationships/image" Target="media/image20.jpeg"/><Relationship Id="rId3" Type="http://schemas.openxmlformats.org/officeDocument/2006/relationships/footer" Target="footer1.xml"/><Relationship Id="rId29" Type="http://schemas.openxmlformats.org/officeDocument/2006/relationships/image" Target="media/image19.jpeg"/><Relationship Id="rId28" Type="http://schemas.openxmlformats.org/officeDocument/2006/relationships/image" Target="media/image18.jpeg"/><Relationship Id="rId27" Type="http://schemas.openxmlformats.org/officeDocument/2006/relationships/image" Target="media/image17.jpeg"/><Relationship Id="rId26" Type="http://schemas.openxmlformats.org/officeDocument/2006/relationships/image" Target="media/image16.jpeg"/><Relationship Id="rId25" Type="http://schemas.openxmlformats.org/officeDocument/2006/relationships/image" Target="media/image15.jpeg"/><Relationship Id="rId24" Type="http://schemas.openxmlformats.org/officeDocument/2006/relationships/image" Target="media/image14.jpeg"/><Relationship Id="rId23" Type="http://schemas.openxmlformats.org/officeDocument/2006/relationships/image" Target="media/image13.jpeg"/><Relationship Id="rId22" Type="http://schemas.openxmlformats.org/officeDocument/2006/relationships/image" Target="media/image12.jpeg"/><Relationship Id="rId21" Type="http://schemas.openxmlformats.org/officeDocument/2006/relationships/image" Target="media/image11.jpe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jpeg"/><Relationship Id="rId14" Type="http://schemas.openxmlformats.org/officeDocument/2006/relationships/image" Target="media/image4.jpeg"/><Relationship Id="rId13" Type="http://schemas.openxmlformats.org/officeDocument/2006/relationships/image" Target="media/image3.jpeg"/><Relationship Id="rId12" Type="http://schemas.openxmlformats.org/officeDocument/2006/relationships/image" Target="media/image2.jpeg"/><Relationship Id="rId11" Type="http://schemas.openxmlformats.org/officeDocument/2006/relationships/image" Target="media/image1.jpeg"/><Relationship Id="rId10" Type="http://schemas.openxmlformats.org/officeDocument/2006/relationships/theme" Target="theme/theme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E6B1FA1-7DE9-4BB3-B341-A9FAC98E8D68}">
  <ds:schemaRefs/>
</ds:datastoreItem>
</file>

<file path=docProps/app.xml><?xml version="1.0" encoding="utf-8"?>
<Properties xmlns="http://schemas.openxmlformats.org/officeDocument/2006/extended-properties" xmlns:vt="http://schemas.openxmlformats.org/officeDocument/2006/docPropsVTypes">
  <Template>Normal</Template>
  <Company>青海省分公司</Company>
  <Pages>112</Pages>
  <Words>1262</Words>
  <Characters>1630</Characters>
  <Lines>393</Lines>
  <Paragraphs>110</Paragraphs>
  <TotalTime>121</TotalTime>
  <ScaleCrop>false</ScaleCrop>
  <LinksUpToDate>false</LinksUpToDate>
  <CharactersWithSpaces>1861</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2023-11-29T08:15:00Z</dcterms:created>
  <dc:creator>陈沛鑫</dc:creator>
  <cp:lastModifiedBy>独角戏</cp:lastModifiedBy>
  <dcterms:modified xsi:type="dcterms:W3CDTF">2024-12-19T02:52:09Z</dcterms:modified>
  <cp:revision>553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BB68D1BA24C74C58A9FB2753567C2F17_13</vt:lpwstr>
  </property>
</Properties>
</file>